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C0E" w:rsidRDefault="00A83C0E">
      <w:bookmarkStart w:id="0" w:name="_GoBack"/>
      <w:bookmarkEnd w:id="0"/>
    </w:p>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A83C0E" w:rsidP="00A83C0E"/>
    <w:p w:rsidR="00A83C0E" w:rsidRPr="00A83C0E" w:rsidRDefault="005312C9" w:rsidP="005312C9">
      <w:pPr>
        <w:tabs>
          <w:tab w:val="left" w:pos="6184"/>
        </w:tabs>
      </w:pPr>
      <w:r>
        <w:tab/>
      </w:r>
    </w:p>
    <w:p w:rsidR="00A83C0E" w:rsidRDefault="00BF6F78" w:rsidP="00A83C0E">
      <w:r>
        <w:rPr>
          <w:noProof/>
          <w:lang w:eastAsia="es-MX"/>
        </w:rPr>
        <mc:AlternateContent>
          <mc:Choice Requires="wps">
            <w:drawing>
              <wp:anchor distT="0" distB="0" distL="114300" distR="114300" simplePos="0" relativeHeight="251658240" behindDoc="0" locked="1" layoutInCell="0" allowOverlap="0">
                <wp:simplePos x="0" y="0"/>
                <wp:positionH relativeFrom="column">
                  <wp:posOffset>-741680</wp:posOffset>
                </wp:positionH>
                <wp:positionV relativeFrom="paragraph">
                  <wp:posOffset>97155</wp:posOffset>
                </wp:positionV>
                <wp:extent cx="8283575" cy="1728470"/>
                <wp:effectExtent l="1270" t="1905" r="1497330" b="3175"/>
                <wp:wrapNone/>
                <wp:docPr id="8" name="Rectangle 2" descr="Diagonal hacia abajo an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3575" cy="1728470"/>
                        </a:xfrm>
                        <a:prstGeom prst="rect">
                          <a:avLst/>
                        </a:prstGeom>
                        <a:pattFill prst="wdDnDiag">
                          <a:fgClr>
                            <a:srgbClr val="1B3564">
                              <a:alpha val="7001"/>
                            </a:srgbClr>
                          </a:fgClr>
                          <a:bgClr>
                            <a:srgbClr val="553D06">
                              <a:alpha val="7001"/>
                            </a:srgbClr>
                          </a:bgClr>
                        </a:pattFill>
                        <a:ln>
                          <a:noFill/>
                        </a:ln>
                        <a:effectLst>
                          <a:outerShdw sy="50000" kx="-2453608" rotWithShape="0">
                            <a:schemeClr val="accent6">
                              <a:lumMod val="40000"/>
                              <a:lumOff val="60000"/>
                              <a:alpha val="50000"/>
                            </a:schemeClr>
                          </a:outerShdw>
                        </a:effectLst>
                        <a:extLst>
                          <a:ext uri="{91240B29-F687-4F45-9708-019B960494DF}">
                            <a14:hiddenLine xmlns:a14="http://schemas.microsoft.com/office/drawing/2010/main" w="12700">
                              <a:solidFill>
                                <a:schemeClr val="lt1">
                                  <a:lumMod val="95000"/>
                                  <a:lumOff val="0"/>
                                </a:schemeClr>
                              </a:solidFill>
                              <a:miter lim="800000"/>
                              <a:headEnd/>
                              <a:tailEnd/>
                            </a14:hiddenLine>
                          </a:ext>
                        </a:extLst>
                      </wps:spPr>
                      <wps:txbx>
                        <w:txbxContent>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shd w:val="clear" w:color="auto" w:fill="1B3564"/>
                              <w:ind w:left="-115"/>
                              <w:jc w:val="center"/>
                            </w:pPr>
                            <w:r>
                              <w:rPr>
                                <w:rFonts w:cs="Garamond"/>
                                <w:b/>
                                <w:bCs/>
                                <w:color w:val="FFFFFF" w:themeColor="background1"/>
                                <w:sz w:val="72"/>
                                <w:szCs w:val="72"/>
                              </w:rPr>
                              <w:t>ARTÍCULOS ARBITRADOS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iagonal hacia abajo ancha" style="position:absolute;left:0;text-align:left;margin-left:-58.4pt;margin-top:7.65pt;width:652.25pt;height:13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" o:allowincell="f" o:allowoverlap="f" fillcolor="#1b3564" stroked="f" strokecolor="#f2f2f2 [3041]" strokeweight="1pt">
                <v:fill r:id="rId9" o:title="" opacity="4626f" color2="#553d06" o:opacity2="4626f" type="pattern"/>
                <v:shadow on="t" type="perspective" color="#fbd4b4 [1305]" opacity=".5" origin=",.5" offset="0,0" matrix=",-56756f,,.5"/>
                <v:textbox>
                  <w:txbxContent>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pStyle w:val="Ttulos"/>
                        <w:shd w:val="clear" w:color="auto" w:fill="1B3564"/>
                        <w:ind w:left="-115"/>
                        <w:rPr>
                          <w:rFonts w:ascii="Garamond" w:hAnsi="Garamond" w:cs="Garamond"/>
                          <w:color w:val="FFFFFF" w:themeColor="background1"/>
                          <w:lang w:val="es-MX"/>
                        </w:rPr>
                      </w:pPr>
                    </w:p>
                    <w:p w:rsidR="002204E0" w:rsidRDefault="002204E0" w:rsidP="0026625B">
                      <w:pPr>
                        <w:shd w:val="clear" w:color="auto" w:fill="1B3564"/>
                        <w:ind w:left="-115"/>
                        <w:jc w:val="center"/>
                      </w:pPr>
                      <w:r>
                        <w:rPr>
                          <w:rFonts w:cs="Garamond"/>
                          <w:b/>
                          <w:bCs/>
                          <w:color w:val="FFFFFF" w:themeColor="background1"/>
                          <w:sz w:val="72"/>
                          <w:szCs w:val="72"/>
                        </w:rPr>
                        <w:t>ARTÍCULOS ARBITRADOS</w:t>
                      </w:r>
                    </w:p>
                  </w:txbxContent>
                </v:textbox>
                <w10:anchorlock/>
              </v:rect>
            </w:pict>
          </mc:Fallback>
        </mc:AlternateContent>
      </w:r>
    </w:p>
    <w:p w:rsidR="000D3DF8" w:rsidRDefault="00A83C0E" w:rsidP="00A83C0E">
      <w:pPr>
        <w:tabs>
          <w:tab w:val="left" w:pos="5520"/>
        </w:tabs>
      </w:pPr>
      <w:r>
        <w:tab/>
      </w: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A83C0E" w:rsidRDefault="00A83C0E"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5312C9" w:rsidRDefault="005312C9" w:rsidP="00A83C0E">
      <w:pPr>
        <w:tabs>
          <w:tab w:val="left" w:pos="5520"/>
        </w:tabs>
      </w:pPr>
    </w:p>
    <w:p w:rsidR="00A83C0E" w:rsidRDefault="005312C9" w:rsidP="005312C9">
      <w:pPr>
        <w:tabs>
          <w:tab w:val="left" w:pos="5520"/>
        </w:tabs>
        <w:jc w:val="center"/>
      </w:pPr>
      <w:r>
        <w:rPr>
          <w:noProof/>
          <w:lang w:eastAsia="es-MX"/>
        </w:rPr>
        <w:drawing>
          <wp:inline distT="0" distB="0" distL="0" distR="0">
            <wp:extent cx="775855" cy="599474"/>
            <wp:effectExtent l="0" t="0" r="5195" b="0"/>
            <wp:docPr id="4" name="3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777606" cy="600827"/>
                    </a:xfrm>
                    <a:prstGeom prst="rect">
                      <a:avLst/>
                    </a:prstGeom>
                  </pic:spPr>
                </pic:pic>
              </a:graphicData>
            </a:graphic>
          </wp:inline>
        </w:drawing>
      </w:r>
    </w:p>
    <w:p w:rsidR="000224C5" w:rsidRPr="000224C5" w:rsidRDefault="000224C5" w:rsidP="000224C5"/>
    <w:p w:rsidR="005312C9" w:rsidRDefault="005312C9" w:rsidP="000224C5">
      <w:pPr>
        <w:jc w:val="center"/>
      </w:pPr>
    </w:p>
    <w:p w:rsidR="000224C5" w:rsidRDefault="000224C5" w:rsidP="000224C5">
      <w:pPr>
        <w:jc w:val="center"/>
      </w:pPr>
    </w:p>
    <w:p w:rsidR="000224C5" w:rsidRDefault="00BF6F78" w:rsidP="000224C5">
      <w:pPr>
        <w:jc w:val="center"/>
      </w:pPr>
      <w:r>
        <w:rPr>
          <w:noProof/>
          <w:lang w:eastAsia="es-MX"/>
        </w:rPr>
        <mc:AlternateContent>
          <mc:Choice Requires="wps">
            <w:drawing>
              <wp:anchor distT="0" distB="0" distL="114300" distR="114300" simplePos="0" relativeHeight="251661312" behindDoc="0" locked="1" layoutInCell="0" allowOverlap="0">
                <wp:simplePos x="0" y="0"/>
                <wp:positionH relativeFrom="column">
                  <wp:posOffset>1429385</wp:posOffset>
                </wp:positionH>
                <wp:positionV relativeFrom="paragraph">
                  <wp:posOffset>-75565</wp:posOffset>
                </wp:positionV>
                <wp:extent cx="3401695" cy="2033905"/>
                <wp:effectExtent l="635" t="635" r="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03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4E0" w:rsidRPr="008D624B" w:rsidRDefault="002204E0" w:rsidP="000224C5">
                            <w:pPr>
                              <w:widowControl w:val="0"/>
                              <w:overflowPunct w:val="0"/>
                              <w:autoSpaceDE w:val="0"/>
                              <w:autoSpaceDN w:val="0"/>
                              <w:adjustRightInd w:val="0"/>
                              <w:spacing w:after="0" w:line="240" w:lineRule="auto"/>
                              <w:jc w:val="center"/>
                              <w:rPr>
                                <w:b/>
                                <w:bCs/>
                                <w:kern w:val="28"/>
                                <w:sz w:val="28"/>
                                <w:szCs w:val="28"/>
                                <w:lang w:val="en-US"/>
                              </w:rPr>
                            </w:pPr>
                          </w:p>
                          <w:p w:rsidR="002204E0" w:rsidRDefault="002204E0" w:rsidP="00447DE3">
                            <w:pPr>
                              <w:spacing w:line="240" w:lineRule="auto"/>
                              <w:ind w:left="-142" w:right="-126"/>
                              <w:contextualSpacing/>
                              <w:jc w:val="center"/>
                              <w:rPr>
                                <w:rFonts w:cs="Times New Roman"/>
                                <w:b/>
                                <w:smallCaps/>
                                <w:szCs w:val="24"/>
                              </w:rPr>
                            </w:pPr>
                            <w:r w:rsidRPr="00E8751B">
                              <w:rPr>
                                <w:rFonts w:cs="Times New Roman"/>
                                <w:b/>
                                <w:smallCaps/>
                                <w:szCs w:val="24"/>
                              </w:rPr>
                              <w:t>La auditoría ambiental en Cuba. Los principios del Derecho Ambiental que la informan</w:t>
                            </w:r>
                          </w:p>
                          <w:p w:rsidR="002204E0" w:rsidRPr="00E8751B" w:rsidRDefault="002204E0" w:rsidP="00447DE3">
                            <w:pPr>
                              <w:spacing w:line="240" w:lineRule="auto"/>
                              <w:ind w:left="-142" w:right="-126"/>
                              <w:contextualSpacing/>
                              <w:jc w:val="center"/>
                              <w:rPr>
                                <w:rFonts w:cs="Times New Roman"/>
                                <w:szCs w:val="24"/>
                              </w:rPr>
                            </w:pPr>
                          </w:p>
                          <w:p w:rsidR="002204E0" w:rsidRPr="00E8751B" w:rsidRDefault="002204E0" w:rsidP="00447DE3">
                            <w:pPr>
                              <w:spacing w:line="240" w:lineRule="auto"/>
                              <w:ind w:left="-142" w:right="-126"/>
                              <w:contextualSpacing/>
                              <w:jc w:val="center"/>
                              <w:rPr>
                                <w:rFonts w:cs="Times New Roman"/>
                                <w:smallCaps/>
                                <w:szCs w:val="24"/>
                                <w:lang w:val="en-US"/>
                              </w:rPr>
                            </w:pPr>
                            <w:r w:rsidRPr="00E8751B">
                              <w:rPr>
                                <w:rFonts w:cs="Times New Roman"/>
                                <w:smallCaps/>
                                <w:szCs w:val="24"/>
                                <w:lang w:val="en-US"/>
                              </w:rPr>
                              <w:t>The environmental auditing in Cuba. The beginnings of The Envi</w:t>
                            </w:r>
                            <w:r>
                              <w:rPr>
                                <w:rFonts w:cs="Times New Roman"/>
                                <w:smallCaps/>
                                <w:szCs w:val="24"/>
                                <w:lang w:val="en-US"/>
                              </w:rPr>
                              <w:t>ronmental right that inform her</w:t>
                            </w: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12.55pt;margin-top:-5.95pt;width:267.85pt;height:16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C3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" o:allowincell="f" o:allowoverlap="f" stroked="f">
                <v:textbox>
                  <w:txbxContent>
                    <w:p w:rsidR="002204E0" w:rsidRPr="008D624B" w:rsidRDefault="002204E0" w:rsidP="000224C5">
                      <w:pPr>
                        <w:widowControl w:val="0"/>
                        <w:overflowPunct w:val="0"/>
                        <w:autoSpaceDE w:val="0"/>
                        <w:autoSpaceDN w:val="0"/>
                        <w:adjustRightInd w:val="0"/>
                        <w:spacing w:after="0" w:line="240" w:lineRule="auto"/>
                        <w:jc w:val="center"/>
                        <w:rPr>
                          <w:b/>
                          <w:bCs/>
                          <w:kern w:val="28"/>
                          <w:sz w:val="28"/>
                          <w:szCs w:val="28"/>
                          <w:lang w:val="en-US"/>
                        </w:rPr>
                      </w:pPr>
                    </w:p>
                    <w:p w:rsidR="002204E0" w:rsidRDefault="002204E0" w:rsidP="00447DE3">
                      <w:pPr>
                        <w:spacing w:line="240" w:lineRule="auto"/>
                        <w:ind w:left="-142" w:right="-126"/>
                        <w:contextualSpacing/>
                        <w:jc w:val="center"/>
                        <w:rPr>
                          <w:rFonts w:cs="Times New Roman"/>
                          <w:b/>
                          <w:smallCaps/>
                          <w:szCs w:val="24"/>
                        </w:rPr>
                      </w:pPr>
                      <w:r w:rsidRPr="00E8751B">
                        <w:rPr>
                          <w:rFonts w:cs="Times New Roman"/>
                          <w:b/>
                          <w:smallCaps/>
                          <w:szCs w:val="24"/>
                        </w:rPr>
                        <w:t>La auditoría ambiental en Cuba. Los principios del Derecho Ambiental que la informan</w:t>
                      </w:r>
                    </w:p>
                    <w:p w:rsidR="002204E0" w:rsidRPr="00E8751B" w:rsidRDefault="002204E0" w:rsidP="00447DE3">
                      <w:pPr>
                        <w:spacing w:line="240" w:lineRule="auto"/>
                        <w:ind w:left="-142" w:right="-126"/>
                        <w:contextualSpacing/>
                        <w:jc w:val="center"/>
                        <w:rPr>
                          <w:rFonts w:cs="Times New Roman"/>
                          <w:szCs w:val="24"/>
                        </w:rPr>
                      </w:pPr>
                    </w:p>
                    <w:p w:rsidR="002204E0" w:rsidRPr="00E8751B" w:rsidRDefault="002204E0" w:rsidP="00447DE3">
                      <w:pPr>
                        <w:spacing w:line="240" w:lineRule="auto"/>
                        <w:ind w:left="-142" w:right="-126"/>
                        <w:contextualSpacing/>
                        <w:jc w:val="center"/>
                        <w:rPr>
                          <w:rFonts w:cs="Times New Roman"/>
                          <w:smallCaps/>
                          <w:szCs w:val="24"/>
                          <w:lang w:val="en-US"/>
                        </w:rPr>
                      </w:pPr>
                      <w:r w:rsidRPr="00E8751B">
                        <w:rPr>
                          <w:rFonts w:cs="Times New Roman"/>
                          <w:smallCaps/>
                          <w:szCs w:val="24"/>
                          <w:lang w:val="en-US"/>
                        </w:rPr>
                        <w:t>The environmental auditing in Cuba. The beginnings of The Envi</w:t>
                      </w:r>
                      <w:r>
                        <w:rPr>
                          <w:rFonts w:cs="Times New Roman"/>
                          <w:smallCaps/>
                          <w:szCs w:val="24"/>
                          <w:lang w:val="en-US"/>
                        </w:rPr>
                        <w:t>ronmental right that inform her</w:t>
                      </w: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widowControl w:val="0"/>
                        <w:overflowPunct w:val="0"/>
                        <w:autoSpaceDE w:val="0"/>
                        <w:autoSpaceDN w:val="0"/>
                        <w:adjustRightInd w:val="0"/>
                        <w:spacing w:after="0" w:line="240" w:lineRule="auto"/>
                        <w:jc w:val="center"/>
                        <w:rPr>
                          <w:bCs/>
                          <w:kern w:val="28"/>
                          <w:sz w:val="28"/>
                          <w:szCs w:val="28"/>
                          <w:lang w:val="en-US"/>
                        </w:rPr>
                      </w:pPr>
                    </w:p>
                    <w:p w:rsidR="002204E0" w:rsidRPr="008D624B" w:rsidRDefault="002204E0" w:rsidP="000224C5">
                      <w:pPr>
                        <w:rPr>
                          <w:lang w:val="en-US"/>
                        </w:rPr>
                      </w:pPr>
                    </w:p>
                  </w:txbxContent>
                </v:textbox>
                <w10:anchorlock/>
              </v:shape>
            </w:pict>
          </mc:Fallback>
        </mc:AlternateContent>
      </w:r>
    </w:p>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Pr="000224C5" w:rsidRDefault="000224C5" w:rsidP="000224C5"/>
    <w:p w:rsidR="000224C5" w:rsidRDefault="000224C5" w:rsidP="000224C5"/>
    <w:p w:rsidR="000224C5" w:rsidRDefault="00BF6F78" w:rsidP="000224C5">
      <w:pPr>
        <w:jc w:val="center"/>
      </w:pPr>
      <w:r>
        <w:rPr>
          <w:noProof/>
          <w:lang w:eastAsia="es-MX"/>
        </w:rPr>
        <mc:AlternateContent>
          <mc:Choice Requires="wps">
            <w:drawing>
              <wp:anchor distT="0" distB="0" distL="114300" distR="114300" simplePos="0" relativeHeight="251662336" behindDoc="0" locked="1" layoutInCell="1" allowOverlap="1">
                <wp:simplePos x="0" y="0"/>
                <wp:positionH relativeFrom="column">
                  <wp:posOffset>1314450</wp:posOffset>
                </wp:positionH>
                <wp:positionV relativeFrom="paragraph">
                  <wp:posOffset>230505</wp:posOffset>
                </wp:positionV>
                <wp:extent cx="3614420" cy="635"/>
                <wp:effectExtent l="19050" t="20955" r="24130" b="26035"/>
                <wp:wrapSquare wrapText="bothSides"/>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03.5pt;margin-top:18.15pt;width:284.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" strokecolor="#b78400" strokeweight="3pt">
                <w10:wrap type="square"/>
                <w10:anchorlock/>
              </v:shape>
            </w:pict>
          </mc:Fallback>
        </mc:AlternateContent>
      </w:r>
    </w:p>
    <w:p w:rsidR="000224C5" w:rsidRPr="000224C5" w:rsidRDefault="000224C5" w:rsidP="000224C5"/>
    <w:p w:rsidR="000224C5" w:rsidRPr="005F638B" w:rsidRDefault="00447DE3" w:rsidP="005F638B">
      <w:pPr>
        <w:jc w:val="center"/>
        <w:rPr>
          <w:b/>
        </w:rPr>
      </w:pPr>
      <w:r w:rsidRPr="00E8751B">
        <w:rPr>
          <w:rFonts w:cs="Times New Roman"/>
          <w:szCs w:val="24"/>
        </w:rPr>
        <w:t>Alcides Francisco Antúnez Sánchez</w:t>
      </w:r>
    </w:p>
    <w:p w:rsidR="000224C5" w:rsidRDefault="000224C5" w:rsidP="000224C5"/>
    <w:p w:rsidR="002052D0" w:rsidRDefault="002052D0" w:rsidP="000224C5"/>
    <w:p w:rsidR="002052D0" w:rsidRDefault="002052D0" w:rsidP="000224C5"/>
    <w:p w:rsidR="00A91FDE" w:rsidRDefault="00A91FDE" w:rsidP="000224C5"/>
    <w:p w:rsidR="00436378" w:rsidRDefault="00436378" w:rsidP="000224C5"/>
    <w:p w:rsidR="00436378" w:rsidRDefault="00436378" w:rsidP="000224C5"/>
    <w:p w:rsidR="00841929" w:rsidRDefault="00841929" w:rsidP="000224C5"/>
    <w:p w:rsidR="00D078B2" w:rsidRDefault="00D078B2" w:rsidP="002052D0">
      <w:pPr>
        <w:jc w:val="center"/>
      </w:pPr>
    </w:p>
    <w:p w:rsidR="002052D0" w:rsidRDefault="002052D0" w:rsidP="002052D0">
      <w:pPr>
        <w:jc w:val="center"/>
      </w:pPr>
      <w:r w:rsidRPr="002052D0">
        <w:rPr>
          <w:noProof/>
          <w:lang w:eastAsia="es-MX"/>
        </w:rPr>
        <w:drawing>
          <wp:inline distT="0" distB="0" distL="0" distR="0">
            <wp:extent cx="1938841" cy="814314"/>
            <wp:effectExtent l="19050" t="0" r="4259" b="0"/>
            <wp:docPr id="761"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462F22" w:rsidRDefault="00462F22" w:rsidP="00C350C1">
      <w:pPr>
        <w:spacing w:after="120" w:line="240" w:lineRule="auto"/>
        <w:jc w:val="center"/>
        <w:rPr>
          <w:b/>
        </w:rPr>
      </w:pPr>
    </w:p>
    <w:p w:rsidR="00F614EF" w:rsidRDefault="00F614EF" w:rsidP="00C350C1">
      <w:pPr>
        <w:spacing w:after="120" w:line="240" w:lineRule="auto"/>
        <w:jc w:val="center"/>
        <w:rPr>
          <w:b/>
        </w:rPr>
      </w:pPr>
    </w:p>
    <w:p w:rsidR="004E71DA" w:rsidRDefault="004E71DA" w:rsidP="004E71DA">
      <w:pPr>
        <w:spacing w:line="240" w:lineRule="auto"/>
        <w:ind w:left="-142" w:right="-126"/>
        <w:contextualSpacing/>
        <w:rPr>
          <w:rFonts w:cs="Times New Roman"/>
          <w:b/>
          <w:smallCaps/>
          <w:szCs w:val="24"/>
        </w:rPr>
      </w:pPr>
    </w:p>
    <w:p w:rsidR="004E71DA" w:rsidRPr="00E8751B" w:rsidRDefault="004E71DA" w:rsidP="004E71DA">
      <w:pPr>
        <w:spacing w:line="240" w:lineRule="auto"/>
        <w:ind w:left="-142" w:right="-126"/>
        <w:contextualSpacing/>
        <w:jc w:val="center"/>
        <w:rPr>
          <w:rFonts w:cs="Times New Roman"/>
          <w:szCs w:val="24"/>
        </w:rPr>
      </w:pPr>
      <w:r w:rsidRPr="00E8751B">
        <w:rPr>
          <w:rFonts w:cs="Times New Roman"/>
          <w:b/>
          <w:smallCaps/>
          <w:szCs w:val="24"/>
        </w:rPr>
        <w:t>La auditoría ambiental en Cuba. Los principios del Derecho Ambiental que la informan</w:t>
      </w:r>
    </w:p>
    <w:p w:rsidR="004E71DA" w:rsidRPr="00E8751B" w:rsidRDefault="004E71DA" w:rsidP="004E71DA">
      <w:pPr>
        <w:spacing w:line="240" w:lineRule="auto"/>
        <w:ind w:left="-142" w:right="-126"/>
        <w:contextualSpacing/>
        <w:jc w:val="center"/>
        <w:rPr>
          <w:rFonts w:cs="Times New Roman"/>
          <w:smallCaps/>
          <w:szCs w:val="24"/>
          <w:lang w:val="en-US"/>
        </w:rPr>
      </w:pPr>
      <w:r w:rsidRPr="00E8751B">
        <w:rPr>
          <w:rFonts w:cs="Times New Roman"/>
          <w:smallCaps/>
          <w:szCs w:val="24"/>
          <w:lang w:val="en-US"/>
        </w:rPr>
        <w:t>The environmental auditing in Cuba. The beginnings of The Envi</w:t>
      </w:r>
      <w:r>
        <w:rPr>
          <w:rFonts w:cs="Times New Roman"/>
          <w:smallCaps/>
          <w:szCs w:val="24"/>
          <w:lang w:val="en-US"/>
        </w:rPr>
        <w:t>ronmental right that informher</w:t>
      </w:r>
    </w:p>
    <w:p w:rsidR="00C350C1" w:rsidRPr="008F40A4" w:rsidRDefault="004E71DA" w:rsidP="00F614EF">
      <w:pPr>
        <w:jc w:val="right"/>
      </w:pPr>
      <w:r w:rsidRPr="00E8751B">
        <w:rPr>
          <w:rFonts w:cs="Times New Roman"/>
          <w:szCs w:val="24"/>
        </w:rPr>
        <w:t>Alcides Francisco Antúnez Sánchez</w:t>
      </w:r>
      <w:r>
        <w:t xml:space="preserve"> </w:t>
      </w:r>
      <w:r w:rsidR="00863259">
        <w:t>*</w:t>
      </w:r>
    </w:p>
    <w:p w:rsidR="004E71DA" w:rsidRPr="00E8751B" w:rsidRDefault="004E71DA" w:rsidP="004E71DA">
      <w:pPr>
        <w:spacing w:line="240" w:lineRule="auto"/>
        <w:ind w:left="-142"/>
        <w:rPr>
          <w:rFonts w:cs="Times New Roman"/>
          <w:szCs w:val="24"/>
        </w:rPr>
      </w:pPr>
      <w:r w:rsidRPr="00E8751B">
        <w:rPr>
          <w:rFonts w:cs="Times New Roman"/>
          <w:b/>
          <w:szCs w:val="24"/>
        </w:rPr>
        <w:t>Sumario</w:t>
      </w:r>
      <w:r w:rsidRPr="00E8751B">
        <w:rPr>
          <w:rFonts w:cs="Times New Roman"/>
          <w:szCs w:val="24"/>
        </w:rPr>
        <w:t>:</w:t>
      </w:r>
      <w:r w:rsidRPr="00E8751B">
        <w:rPr>
          <w:rFonts w:cs="Times New Roman"/>
          <w:b/>
          <w:szCs w:val="24"/>
        </w:rPr>
        <w:t xml:space="preserve"> </w:t>
      </w:r>
      <w:r w:rsidRPr="00E8751B">
        <w:rPr>
          <w:rFonts w:cs="Times New Roman"/>
          <w:szCs w:val="24"/>
        </w:rPr>
        <w:t>I. A modo de introducción; II. Íter histórico de la auditoría ambiental dentro del derecho ambiental; III. Los principios del derecho ambiental que informan a la auditoría ambiental en Cuba; IV. La entidad fiscalizadora superior en el control con enfoque ambiental en las formas de gestión del sector estatal cubano; V. A manera de conclusiones; VI. Fuentes de consulta.</w:t>
      </w:r>
    </w:p>
    <w:p w:rsidR="004E71DA" w:rsidRPr="00E8751B" w:rsidRDefault="004E71DA" w:rsidP="004E71DA">
      <w:pPr>
        <w:spacing w:line="240" w:lineRule="auto"/>
        <w:ind w:left="-142" w:right="-144"/>
        <w:contextualSpacing/>
        <w:rPr>
          <w:rFonts w:cs="Times New Roman"/>
          <w:szCs w:val="24"/>
        </w:rPr>
      </w:pPr>
      <w:r w:rsidRPr="00E8751B">
        <w:rPr>
          <w:rFonts w:cs="Times New Roman"/>
          <w:b/>
          <w:szCs w:val="24"/>
        </w:rPr>
        <w:t>Resumen</w:t>
      </w:r>
      <w:r w:rsidRPr="00E8751B">
        <w:rPr>
          <w:rFonts w:cs="Times New Roman"/>
          <w:szCs w:val="24"/>
        </w:rPr>
        <w:t>:</w:t>
      </w:r>
      <w:r w:rsidRPr="00E8751B">
        <w:rPr>
          <w:rFonts w:cs="Times New Roman"/>
          <w:b/>
          <w:szCs w:val="24"/>
        </w:rPr>
        <w:t xml:space="preserve"> </w:t>
      </w:r>
      <w:r w:rsidRPr="00E8751B">
        <w:rPr>
          <w:rFonts w:cs="Times New Roman"/>
          <w:szCs w:val="24"/>
        </w:rPr>
        <w:t xml:space="preserve">Los orígenes de la auditoría ambiental dentro del derecho ambiental aparecen con el trinomio contabilidad, auditoría y </w:t>
      </w:r>
      <w:r>
        <w:rPr>
          <w:rFonts w:cs="Times New Roman"/>
          <w:szCs w:val="24"/>
        </w:rPr>
        <w:t>d</w:t>
      </w:r>
      <w:r w:rsidRPr="00E8751B">
        <w:rPr>
          <w:rFonts w:cs="Times New Roman"/>
          <w:szCs w:val="24"/>
        </w:rPr>
        <w:t>erecho</w:t>
      </w:r>
      <w:r>
        <w:rPr>
          <w:rFonts w:cs="Times New Roman"/>
          <w:szCs w:val="24"/>
        </w:rPr>
        <w:t>,</w:t>
      </w:r>
      <w:r w:rsidRPr="00E8751B">
        <w:rPr>
          <w:rFonts w:cs="Times New Roman"/>
          <w:szCs w:val="24"/>
        </w:rPr>
        <w:t xml:space="preserve"> por la relevancia que posee el control ambiental en las formas de gestión. Se formula como problemática las insuficiencias en su ordenación jurídica para el sector estatal cubano en pro de lograr la empresa amigable con el ambiente. La importancia que tiene para el desarrollo industrial en la actualización del modelo económico</w:t>
      </w:r>
      <w:r>
        <w:rPr>
          <w:rFonts w:cs="Times New Roman"/>
          <w:szCs w:val="24"/>
        </w:rPr>
        <w:t>, los valores agregados que é</w:t>
      </w:r>
      <w:r w:rsidRPr="00E8751B">
        <w:rPr>
          <w:rFonts w:cs="Times New Roman"/>
          <w:szCs w:val="24"/>
        </w:rPr>
        <w:t>sta aportará a las formas de gestión co</w:t>
      </w:r>
      <w:r>
        <w:rPr>
          <w:rFonts w:cs="Times New Roman"/>
          <w:szCs w:val="24"/>
        </w:rPr>
        <w:t>n</w:t>
      </w:r>
      <w:r w:rsidRPr="00E8751B">
        <w:rPr>
          <w:rFonts w:cs="Times New Roman"/>
          <w:szCs w:val="24"/>
        </w:rPr>
        <w:t xml:space="preserve"> adecuada ética empresarial, la certificación de sus sistemas de gestión, la certificación contable ambiental y la certificación ambiental. La entidad fiscalizadora superior que la ejecuta observa los principios que la informan desde el derecho ambiental y los de la actividad auditora como meta para alcanzar el desarrollo sostenible. Fueron utilizados en la investigación los métodos histórico-lógico, el de análisis y síntesis, el teórico-jurídico, el exegético-jurídico, el de</w:t>
      </w:r>
      <w:r>
        <w:rPr>
          <w:rFonts w:cs="Times New Roman"/>
          <w:szCs w:val="24"/>
        </w:rPr>
        <w:t xml:space="preserve"> </w:t>
      </w:r>
      <w:r w:rsidRPr="00E8751B">
        <w:rPr>
          <w:rFonts w:cs="Times New Roman"/>
          <w:szCs w:val="24"/>
        </w:rPr>
        <w:t>derecho-comparado y el inductivo-deductivo.</w:t>
      </w:r>
      <w:r>
        <w:rPr>
          <w:rFonts w:cs="Times New Roman"/>
          <w:szCs w:val="24"/>
        </w:rPr>
        <w:t xml:space="preserve">  </w:t>
      </w:r>
    </w:p>
    <w:p w:rsidR="004E71DA" w:rsidRDefault="004E71DA" w:rsidP="00DE153A">
      <w:pPr>
        <w:pStyle w:val="HTMLconformatoprevio"/>
        <w:shd w:val="clear" w:color="auto" w:fill="FFFFFF"/>
        <w:spacing w:line="276" w:lineRule="auto"/>
        <w:jc w:val="both"/>
        <w:rPr>
          <w:rFonts w:ascii="Garamond" w:hAnsi="Garamond"/>
          <w:b/>
          <w:sz w:val="24"/>
          <w:lang w:val="en-US"/>
        </w:rPr>
      </w:pPr>
    </w:p>
    <w:p w:rsidR="004E71DA" w:rsidRPr="00E8751B" w:rsidRDefault="004E71DA" w:rsidP="004E71DA">
      <w:pPr>
        <w:spacing w:line="240" w:lineRule="auto"/>
        <w:ind w:left="-142" w:right="-144"/>
        <w:contextualSpacing/>
        <w:rPr>
          <w:rFonts w:cs="Times New Roman"/>
          <w:szCs w:val="24"/>
          <w:lang w:val="en-US"/>
        </w:rPr>
      </w:pPr>
      <w:r w:rsidRPr="00E8751B">
        <w:rPr>
          <w:rFonts w:cs="Times New Roman"/>
          <w:b/>
          <w:szCs w:val="24"/>
          <w:lang w:val="en-US"/>
        </w:rPr>
        <w:t>Abstrac</w:t>
      </w:r>
      <w:r w:rsidRPr="00E8751B">
        <w:rPr>
          <w:rFonts w:cs="Times New Roman"/>
          <w:szCs w:val="24"/>
          <w:lang w:val="en-US"/>
        </w:rPr>
        <w:t>: The origins of the environmental auditing within The Environmental right bookkeeping, auditing and for relevance appear with the trinomial that you possess the environmental control in the forms of step. The Cuban in behalf of achieving the friendly enterprise with the environment formulates like problems the insufficiencies in his juridical sorting for the public sector himself. The importance that you have for the industrial development in the bringing up to date of the economic model, the added values that this will contribute to you form it of step with an adequate business ethics, the certification of his systems of step, the countable environmental certification and the environmental certification. The Supervising Superior Entity that executes her observes the beginnings that inform it from The Environmental right and give them the activity auditor like goal to attain the sustainable development. The historic logical methods, the one belonging to analysis and synthesis, the juridical theoretician, the exegetic were used in investigation juridical, the one belonging to comparative jurisprudence and the inductive deductive.</w:t>
      </w:r>
      <w:r>
        <w:rPr>
          <w:rFonts w:cs="Times New Roman"/>
          <w:szCs w:val="24"/>
          <w:lang w:val="en-US"/>
        </w:rPr>
        <w:t xml:space="preserve">  </w:t>
      </w:r>
    </w:p>
    <w:p w:rsidR="004E71DA" w:rsidRPr="00E8751B" w:rsidRDefault="004E71DA" w:rsidP="004E71DA">
      <w:pPr>
        <w:spacing w:line="240" w:lineRule="auto"/>
        <w:ind w:left="-142" w:right="-144"/>
        <w:contextualSpacing/>
        <w:rPr>
          <w:rFonts w:cs="Times New Roman"/>
          <w:szCs w:val="24"/>
          <w:lang w:val="en-US"/>
        </w:rPr>
      </w:pPr>
    </w:p>
    <w:p w:rsidR="004E71DA" w:rsidRPr="00E8751B" w:rsidRDefault="004E71DA" w:rsidP="004E71DA">
      <w:pPr>
        <w:spacing w:line="240" w:lineRule="auto"/>
        <w:ind w:left="-142" w:right="-144"/>
        <w:contextualSpacing/>
        <w:rPr>
          <w:rFonts w:cs="Times New Roman"/>
          <w:szCs w:val="24"/>
        </w:rPr>
      </w:pPr>
      <w:r w:rsidRPr="00E8751B">
        <w:rPr>
          <w:rFonts w:cs="Times New Roman"/>
          <w:b/>
          <w:szCs w:val="24"/>
        </w:rPr>
        <w:t>Palabras clave</w:t>
      </w:r>
      <w:r w:rsidRPr="00E8751B">
        <w:rPr>
          <w:rFonts w:cs="Times New Roman"/>
          <w:szCs w:val="24"/>
        </w:rPr>
        <w:t>: auditoría ambiental, empresa amigable con el ambiente, desarrollo sostenible.</w:t>
      </w:r>
    </w:p>
    <w:p w:rsidR="004E71DA" w:rsidRPr="00E8751B" w:rsidRDefault="004E71DA" w:rsidP="004E71DA">
      <w:pPr>
        <w:spacing w:line="240" w:lineRule="auto"/>
        <w:ind w:left="-142" w:right="-144"/>
        <w:contextualSpacing/>
        <w:rPr>
          <w:rFonts w:cs="Times New Roman"/>
          <w:szCs w:val="24"/>
        </w:rPr>
      </w:pPr>
    </w:p>
    <w:p w:rsidR="004E71DA" w:rsidRDefault="004E71DA" w:rsidP="004E71DA">
      <w:pPr>
        <w:spacing w:line="240" w:lineRule="auto"/>
        <w:ind w:left="-142" w:right="-144"/>
        <w:contextualSpacing/>
        <w:rPr>
          <w:rFonts w:cs="Times New Roman"/>
          <w:szCs w:val="24"/>
          <w:lang w:val="en-US"/>
        </w:rPr>
      </w:pPr>
      <w:r>
        <w:rPr>
          <w:rFonts w:cs="Times New Roman"/>
          <w:b/>
          <w:szCs w:val="24"/>
          <w:lang w:val="en-US"/>
        </w:rPr>
        <w:t>Key</w:t>
      </w:r>
      <w:r w:rsidRPr="00E8751B">
        <w:rPr>
          <w:rFonts w:cs="Times New Roman"/>
          <w:b/>
          <w:szCs w:val="24"/>
          <w:lang w:val="en-US"/>
        </w:rPr>
        <w:t>words</w:t>
      </w:r>
      <w:r w:rsidRPr="00E8751B">
        <w:rPr>
          <w:rFonts w:cs="Times New Roman"/>
          <w:szCs w:val="24"/>
          <w:lang w:val="en-US"/>
        </w:rPr>
        <w:t>:</w:t>
      </w:r>
      <w:r w:rsidRPr="00E8751B">
        <w:rPr>
          <w:rFonts w:cs="Times New Roman"/>
          <w:b/>
          <w:szCs w:val="24"/>
          <w:lang w:val="en-US"/>
        </w:rPr>
        <w:t xml:space="preserve"> </w:t>
      </w:r>
      <w:r w:rsidRPr="00E8751B">
        <w:rPr>
          <w:rFonts w:cs="Times New Roman"/>
          <w:szCs w:val="24"/>
          <w:lang w:val="en-US"/>
        </w:rPr>
        <w:t>Environmental auditing, friendly company with the environment, sustainable development.</w:t>
      </w:r>
    </w:p>
    <w:p w:rsidR="004E71DA" w:rsidRDefault="004E71DA" w:rsidP="004E71DA">
      <w:pPr>
        <w:spacing w:line="240" w:lineRule="auto"/>
        <w:ind w:left="-142" w:right="-144"/>
        <w:contextualSpacing/>
        <w:rPr>
          <w:rFonts w:cs="Times New Roman"/>
          <w:szCs w:val="24"/>
          <w:lang w:val="en-US"/>
        </w:rPr>
      </w:pPr>
    </w:p>
    <w:p w:rsidR="004E71DA" w:rsidRPr="00E8751B" w:rsidRDefault="004E71DA" w:rsidP="004E71DA">
      <w:pPr>
        <w:spacing w:line="240" w:lineRule="auto"/>
        <w:ind w:left="-142" w:right="-144"/>
        <w:contextualSpacing/>
        <w:rPr>
          <w:rFonts w:cs="Times New Roman"/>
          <w:szCs w:val="24"/>
          <w:lang w:val="en-US"/>
        </w:rPr>
      </w:pPr>
    </w:p>
    <w:p w:rsidR="00327357" w:rsidRPr="00327357" w:rsidRDefault="00327357" w:rsidP="00327357">
      <w:pPr>
        <w:pBdr>
          <w:bottom w:val="single" w:sz="12" w:space="1" w:color="auto"/>
        </w:pBdr>
        <w:spacing w:after="240" w:line="240" w:lineRule="auto"/>
        <w:rPr>
          <w:lang w:val="en-US"/>
        </w:rPr>
      </w:pPr>
    </w:p>
    <w:p w:rsidR="00DE153A" w:rsidRPr="00235C8C" w:rsidRDefault="00863259" w:rsidP="00DE153A">
      <w:pPr>
        <w:pStyle w:val="Textonotapie"/>
        <w:jc w:val="both"/>
        <w:rPr>
          <w:sz w:val="22"/>
          <w:szCs w:val="22"/>
        </w:rPr>
      </w:pPr>
      <w:r>
        <w:t xml:space="preserve">* </w:t>
      </w:r>
      <w:r w:rsidR="004E71DA" w:rsidRPr="00F07345">
        <w:rPr>
          <w:rFonts w:ascii="Garamond" w:hAnsi="Garamond" w:cs="Times New Roman"/>
        </w:rPr>
        <w:t>Licenciado en Derecho,</w:t>
      </w:r>
      <w:r w:rsidR="004E71DA">
        <w:rPr>
          <w:rFonts w:ascii="Garamond" w:hAnsi="Garamond" w:cs="Times New Roman"/>
        </w:rPr>
        <w:t xml:space="preserve"> m</w:t>
      </w:r>
      <w:r w:rsidR="004E71DA" w:rsidRPr="00F07345">
        <w:rPr>
          <w:rFonts w:ascii="Garamond" w:hAnsi="Garamond" w:cs="Times New Roman"/>
        </w:rPr>
        <w:t>áster en Derecho de la Empresa por la Facultad de Derecho de la Universidad de Oriente.</w:t>
      </w:r>
      <w:r w:rsidR="004E71DA" w:rsidRPr="00F07345">
        <w:rPr>
          <w:rFonts w:ascii="Garamond" w:hAnsi="Garamond" w:cs="Times New Roman"/>
          <w:b/>
        </w:rPr>
        <w:t xml:space="preserve"> </w:t>
      </w:r>
      <w:r w:rsidR="004E71DA" w:rsidRPr="00F07345">
        <w:rPr>
          <w:rFonts w:ascii="Garamond" w:hAnsi="Garamond" w:cs="Times New Roman"/>
        </w:rPr>
        <w:t>Actualmente es profesor auxiliar en el Depa</w:t>
      </w:r>
      <w:r w:rsidR="004E71DA">
        <w:rPr>
          <w:rFonts w:ascii="Garamond" w:hAnsi="Garamond" w:cs="Times New Roman"/>
        </w:rPr>
        <w:t>rtamento de Derecho, imparte las materias</w:t>
      </w:r>
      <w:r w:rsidR="004E71DA" w:rsidRPr="00F07345">
        <w:rPr>
          <w:rFonts w:ascii="Garamond" w:hAnsi="Garamond" w:cs="Times New Roman"/>
        </w:rPr>
        <w:t xml:space="preserve"> Derecho Ambiental y </w:t>
      </w:r>
      <w:r w:rsidR="004E71DA">
        <w:rPr>
          <w:rFonts w:ascii="Garamond" w:hAnsi="Garamond" w:cs="Times New Roman"/>
        </w:rPr>
        <w:t xml:space="preserve">Derecho </w:t>
      </w:r>
      <w:r w:rsidR="004E71DA" w:rsidRPr="00F07345">
        <w:rPr>
          <w:rFonts w:ascii="Garamond" w:hAnsi="Garamond" w:cs="Times New Roman"/>
        </w:rPr>
        <w:t xml:space="preserve">Mercantil. Facultad de Ciencias Económicas y Sociales. El trabajo es parte de una investigación sobre la auditoría ambiental en la nación cubana. Universidad de Granma. República de Cuba. </w:t>
      </w:r>
      <w:r w:rsidR="004E71DA">
        <w:rPr>
          <w:rFonts w:ascii="Garamond" w:hAnsi="Garamond" w:cs="Times New Roman"/>
        </w:rPr>
        <w:t xml:space="preserve">Contacto: </w:t>
      </w:r>
      <w:hyperlink r:id="rId12" w:history="1">
        <w:r w:rsidR="004E71DA" w:rsidRPr="00F07345">
          <w:rPr>
            <w:rStyle w:val="Hipervnculo"/>
            <w:rFonts w:ascii="Garamond" w:hAnsi="Garamond" w:cs="Times New Roman"/>
            <w:lang w:val="es-ES"/>
          </w:rPr>
          <w:t>aantunez@udg.co.cu</w:t>
        </w:r>
      </w:hyperlink>
      <w:r w:rsidR="004E71DA" w:rsidRPr="00F07345">
        <w:rPr>
          <w:rFonts w:ascii="Garamond" w:hAnsi="Garamond" w:cs="Times New Roman"/>
          <w:u w:val="single"/>
          <w:lang w:val="es-ES"/>
        </w:rPr>
        <w:t>, antunez63@nauta.cu</w:t>
      </w:r>
      <w:r w:rsidR="00DE153A" w:rsidRPr="00235C8C">
        <w:rPr>
          <w:rFonts w:ascii="Garamond" w:hAnsi="Garamond"/>
          <w:sz w:val="22"/>
          <w:szCs w:val="22"/>
        </w:rPr>
        <w:t>.</w:t>
      </w:r>
    </w:p>
    <w:p w:rsidR="00863259" w:rsidRPr="00863259" w:rsidRDefault="00863259" w:rsidP="00F614EF">
      <w:pPr>
        <w:spacing w:after="60" w:line="240" w:lineRule="auto"/>
        <w:rPr>
          <w:sz w:val="22"/>
        </w:rPr>
      </w:pPr>
    </w:p>
    <w:p w:rsidR="002204E0" w:rsidRPr="00E8751B" w:rsidRDefault="00BF6F78" w:rsidP="002204E0">
      <w:pPr>
        <w:rPr>
          <w:rFonts w:cs="Times New Roman"/>
          <w:b/>
          <w:szCs w:val="24"/>
        </w:rPr>
      </w:pPr>
      <w:r>
        <w:rPr>
          <w:b/>
          <w:noProof/>
          <w:szCs w:val="24"/>
          <w:lang w:eastAsia="es-MX"/>
        </w:rPr>
        <w:lastRenderedPageBreak/>
        <mc:AlternateContent>
          <mc:Choice Requires="wps">
            <w:drawing>
              <wp:anchor distT="0" distB="0" distL="114300" distR="114300" simplePos="0" relativeHeight="251701248" behindDoc="0" locked="1" layoutInCell="1" allowOverlap="1">
                <wp:simplePos x="0" y="0"/>
                <wp:positionH relativeFrom="column">
                  <wp:posOffset>-507365</wp:posOffset>
                </wp:positionH>
                <wp:positionV relativeFrom="page">
                  <wp:posOffset>176530</wp:posOffset>
                </wp:positionV>
                <wp:extent cx="7350760" cy="673735"/>
                <wp:effectExtent l="0" t="0" r="0" b="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760"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4E0" w:rsidRDefault="002204E0"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224298" cy="365981"/>
                                  <wp:effectExtent l="19050" t="0" r="4302" b="0"/>
                                  <wp:docPr id="3942"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3"/>
                                          <a:stretch>
                                            <a:fillRect/>
                                          </a:stretch>
                                        </pic:blipFill>
                                        <pic:spPr>
                                          <a:xfrm>
                                            <a:off x="0" y="0"/>
                                            <a:ext cx="224196" cy="365814"/>
                                          </a:xfrm>
                                          <a:prstGeom prst="rect">
                                            <a:avLst/>
                                          </a:prstGeom>
                                        </pic:spPr>
                                      </pic:pic>
                                    </a:graphicData>
                                  </a:graphic>
                                </wp:inline>
                              </w:drawing>
                            </w:r>
                            <w:r>
                              <w:rPr>
                                <w:rFonts w:cs="Garamond"/>
                                <w:noProof/>
                                <w:color w:val="555555"/>
                                <w:position w:val="2"/>
                                <w:sz w:val="16"/>
                                <w:szCs w:val="16"/>
                                <w:lang w:val="es-MX" w:eastAsia="es-MX" w:bidi="ar-SA"/>
                              </w:rPr>
                              <w:t xml:space="preserve">                                                                                                                                                                                                                                                  </w:t>
                            </w:r>
                            <w:r>
                              <w:rPr>
                                <w:rFonts w:cs="Garamond"/>
                                <w:noProof/>
                                <w:color w:val="555555"/>
                                <w:position w:val="2"/>
                                <w:sz w:val="16"/>
                                <w:szCs w:val="16"/>
                                <w:lang w:val="es-MX" w:eastAsia="es-MX" w:bidi="ar-SA"/>
                              </w:rPr>
                              <w:drawing>
                                <wp:inline distT="0" distB="0" distL="0" distR="0">
                                  <wp:extent cx="727363" cy="312262"/>
                                  <wp:effectExtent l="0" t="0" r="0" b="0"/>
                                  <wp:docPr id="3943"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14"/>
                                          <a:stretch>
                                            <a:fillRect/>
                                          </a:stretch>
                                        </pic:blipFill>
                                        <pic:spPr>
                                          <a:xfrm>
                                            <a:off x="0" y="0"/>
                                            <a:ext cx="729117" cy="313015"/>
                                          </a:xfrm>
                                          <a:prstGeom prst="rect">
                                            <a:avLst/>
                                          </a:prstGeom>
                                        </pic:spPr>
                                      </pic:pic>
                                    </a:graphicData>
                                  </a:graphic>
                                </wp:inline>
                              </w:drawing>
                            </w:r>
                          </w:p>
                          <w:p w:rsidR="002204E0" w:rsidRDefault="002204E0"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7141200" cy="48162"/>
                                  <wp:effectExtent l="19050" t="0" r="2550" b="0"/>
                                  <wp:docPr id="3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9905426" cy="66805"/>
                                          </a:xfrm>
                                          <a:prstGeom prst="rect">
                                            <a:avLst/>
                                          </a:prstGeom>
                                          <a:noFill/>
                                          <a:ln w="9525">
                                            <a:noFill/>
                                            <a:miter lim="800000"/>
                                            <a:headEnd/>
                                            <a:tailEnd/>
                                          </a:ln>
                                        </pic:spPr>
                                      </pic:pic>
                                    </a:graphicData>
                                  </a:graphic>
                                </wp:inline>
                              </w:drawing>
                            </w:r>
                          </w:p>
                          <w:p w:rsidR="002204E0" w:rsidRDefault="002204E0" w:rsidP="002602AC">
                            <w:pPr>
                              <w:pStyle w:val="AmicusPresentacin"/>
                              <w:rPr>
                                <w:rFonts w:cs="Garamond"/>
                                <w:noProof/>
                                <w:color w:val="555555"/>
                                <w:position w:val="2"/>
                                <w:sz w:val="16"/>
                                <w:szCs w:val="16"/>
                                <w:lang w:val="es-MX" w:eastAsia="es-MX" w:bidi="ar-SA"/>
                              </w:rPr>
                            </w:pPr>
                          </w:p>
                          <w:p w:rsidR="002204E0" w:rsidRDefault="002204E0" w:rsidP="002602AC">
                            <w:pPr>
                              <w:pStyle w:val="AmicusPresentacin"/>
                              <w:rPr>
                                <w:rFonts w:cs="Garamond"/>
                                <w:noProof/>
                                <w:color w:val="555555"/>
                                <w:position w:val="2"/>
                                <w:sz w:val="16"/>
                                <w:szCs w:val="16"/>
                                <w:lang w:val="es-MX" w:eastAsia="es-MX" w:bidi="ar-SA"/>
                              </w:rPr>
                            </w:pPr>
                          </w:p>
                          <w:p w:rsidR="002204E0" w:rsidRDefault="002204E0" w:rsidP="002602AC">
                            <w:pPr>
                              <w:pStyle w:val="AmicusPresentacin"/>
                              <w:rPr>
                                <w:rFonts w:cs="Garamond"/>
                                <w:noProof/>
                                <w:color w:val="555555"/>
                                <w:position w:val="2"/>
                                <w:sz w:val="16"/>
                                <w:szCs w:val="16"/>
                                <w:lang w:val="es-MX" w:eastAsia="es-MX" w:bidi="ar-SA"/>
                              </w:rPr>
                            </w:pPr>
                          </w:p>
                          <w:p w:rsidR="002204E0" w:rsidRPr="006B1A0D" w:rsidRDefault="002204E0" w:rsidP="002602AC">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2204E0" w:rsidRPr="006B1A0D" w:rsidRDefault="002204E0" w:rsidP="002602AC">
                            <w:pPr>
                              <w:pStyle w:val="AmicusPresentacin"/>
                              <w:rPr>
                                <w:rFonts w:cs="Garamond"/>
                                <w:color w:val="555555"/>
                                <w:position w:val="2"/>
                                <w:sz w:val="16"/>
                                <w:szCs w:val="16"/>
                                <w:u w:val="single"/>
                                <w:lang w:val="es-MX"/>
                              </w:rPr>
                            </w:pPr>
                          </w:p>
                          <w:p w:rsidR="002204E0" w:rsidRPr="006B1A0D" w:rsidRDefault="002204E0" w:rsidP="002602AC">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2204E0" w:rsidRPr="006B1A0D" w:rsidRDefault="002204E0" w:rsidP="002602AC">
                            <w:pPr>
                              <w:tabs>
                                <w:tab w:val="left" w:pos="7814"/>
                              </w:tabs>
                              <w:rPr>
                                <w:u w:val="single"/>
                              </w:rPr>
                            </w:pPr>
                          </w:p>
                          <w:p w:rsidR="002204E0" w:rsidRPr="006B1A0D" w:rsidRDefault="002204E0" w:rsidP="002602AC">
                            <w:pPr>
                              <w:rPr>
                                <w:u w:val="single"/>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left:0;text-align:left;margin-left:-39.95pt;margin-top:13.9pt;width:578.8pt;height:5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G+hgIAABc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" stroked="f">
                <v:textbox>
                  <w:txbxContent>
                    <w:p w:rsidR="002204E0" w:rsidRDefault="002204E0"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224298" cy="365981"/>
                            <wp:effectExtent l="19050" t="0" r="4302" b="0"/>
                            <wp:docPr id="3942"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3"/>
                                    <a:stretch>
                                      <a:fillRect/>
                                    </a:stretch>
                                  </pic:blipFill>
                                  <pic:spPr>
                                    <a:xfrm>
                                      <a:off x="0" y="0"/>
                                      <a:ext cx="224196" cy="365814"/>
                                    </a:xfrm>
                                    <a:prstGeom prst="rect">
                                      <a:avLst/>
                                    </a:prstGeom>
                                  </pic:spPr>
                                </pic:pic>
                              </a:graphicData>
                            </a:graphic>
                          </wp:inline>
                        </w:drawing>
                      </w:r>
                      <w:r>
                        <w:rPr>
                          <w:rFonts w:cs="Garamond"/>
                          <w:noProof/>
                          <w:color w:val="555555"/>
                          <w:position w:val="2"/>
                          <w:sz w:val="16"/>
                          <w:szCs w:val="16"/>
                          <w:lang w:val="es-MX" w:eastAsia="es-MX" w:bidi="ar-SA"/>
                        </w:rPr>
                        <w:t xml:space="preserve">                                                                                                                                                                                                                                                  </w:t>
                      </w:r>
                      <w:r>
                        <w:rPr>
                          <w:rFonts w:cs="Garamond"/>
                          <w:noProof/>
                          <w:color w:val="555555"/>
                          <w:position w:val="2"/>
                          <w:sz w:val="16"/>
                          <w:szCs w:val="16"/>
                          <w:lang w:val="es-MX" w:eastAsia="es-MX" w:bidi="ar-SA"/>
                        </w:rPr>
                        <w:drawing>
                          <wp:inline distT="0" distB="0" distL="0" distR="0">
                            <wp:extent cx="727363" cy="312262"/>
                            <wp:effectExtent l="0" t="0" r="0" b="0"/>
                            <wp:docPr id="3943"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14"/>
                                    <a:stretch>
                                      <a:fillRect/>
                                    </a:stretch>
                                  </pic:blipFill>
                                  <pic:spPr>
                                    <a:xfrm>
                                      <a:off x="0" y="0"/>
                                      <a:ext cx="729117" cy="313015"/>
                                    </a:xfrm>
                                    <a:prstGeom prst="rect">
                                      <a:avLst/>
                                    </a:prstGeom>
                                  </pic:spPr>
                                </pic:pic>
                              </a:graphicData>
                            </a:graphic>
                          </wp:inline>
                        </w:drawing>
                      </w:r>
                    </w:p>
                    <w:p w:rsidR="002204E0" w:rsidRDefault="002204E0" w:rsidP="002602AC">
                      <w:pPr>
                        <w:pStyle w:val="AmicusPresentacin"/>
                        <w:rPr>
                          <w:rFonts w:cs="Garamond"/>
                          <w:noProof/>
                          <w:color w:val="555555"/>
                          <w:position w:val="2"/>
                          <w:sz w:val="16"/>
                          <w:szCs w:val="16"/>
                          <w:lang w:val="es-MX" w:eastAsia="es-MX" w:bidi="ar-SA"/>
                        </w:rPr>
                      </w:pPr>
                      <w:r>
                        <w:rPr>
                          <w:rFonts w:cs="Garamond"/>
                          <w:noProof/>
                          <w:color w:val="555555"/>
                          <w:position w:val="2"/>
                          <w:sz w:val="16"/>
                          <w:szCs w:val="16"/>
                          <w:lang w:val="es-MX" w:eastAsia="es-MX" w:bidi="ar-SA"/>
                        </w:rPr>
                        <w:drawing>
                          <wp:inline distT="0" distB="0" distL="0" distR="0">
                            <wp:extent cx="7141200" cy="48162"/>
                            <wp:effectExtent l="19050" t="0" r="2550" b="0"/>
                            <wp:docPr id="3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9905426" cy="66805"/>
                                    </a:xfrm>
                                    <a:prstGeom prst="rect">
                                      <a:avLst/>
                                    </a:prstGeom>
                                    <a:noFill/>
                                    <a:ln w="9525">
                                      <a:noFill/>
                                      <a:miter lim="800000"/>
                                      <a:headEnd/>
                                      <a:tailEnd/>
                                    </a:ln>
                                  </pic:spPr>
                                </pic:pic>
                              </a:graphicData>
                            </a:graphic>
                          </wp:inline>
                        </w:drawing>
                      </w:r>
                    </w:p>
                    <w:p w:rsidR="002204E0" w:rsidRDefault="002204E0" w:rsidP="002602AC">
                      <w:pPr>
                        <w:pStyle w:val="AmicusPresentacin"/>
                        <w:rPr>
                          <w:rFonts w:cs="Garamond"/>
                          <w:noProof/>
                          <w:color w:val="555555"/>
                          <w:position w:val="2"/>
                          <w:sz w:val="16"/>
                          <w:szCs w:val="16"/>
                          <w:lang w:val="es-MX" w:eastAsia="es-MX" w:bidi="ar-SA"/>
                        </w:rPr>
                      </w:pPr>
                    </w:p>
                    <w:p w:rsidR="002204E0" w:rsidRDefault="002204E0" w:rsidP="002602AC">
                      <w:pPr>
                        <w:pStyle w:val="AmicusPresentacin"/>
                        <w:rPr>
                          <w:rFonts w:cs="Garamond"/>
                          <w:noProof/>
                          <w:color w:val="555555"/>
                          <w:position w:val="2"/>
                          <w:sz w:val="16"/>
                          <w:szCs w:val="16"/>
                          <w:lang w:val="es-MX" w:eastAsia="es-MX" w:bidi="ar-SA"/>
                        </w:rPr>
                      </w:pPr>
                    </w:p>
                    <w:p w:rsidR="002204E0" w:rsidRDefault="002204E0" w:rsidP="002602AC">
                      <w:pPr>
                        <w:pStyle w:val="AmicusPresentacin"/>
                        <w:rPr>
                          <w:rFonts w:cs="Garamond"/>
                          <w:noProof/>
                          <w:color w:val="555555"/>
                          <w:position w:val="2"/>
                          <w:sz w:val="16"/>
                          <w:szCs w:val="16"/>
                          <w:lang w:val="es-MX" w:eastAsia="es-MX" w:bidi="ar-SA"/>
                        </w:rPr>
                      </w:pPr>
                    </w:p>
                    <w:p w:rsidR="002204E0" w:rsidRPr="006B1A0D" w:rsidRDefault="002204E0" w:rsidP="002602AC">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2204E0" w:rsidRPr="006B1A0D" w:rsidRDefault="002204E0" w:rsidP="002602AC">
                      <w:pPr>
                        <w:pStyle w:val="AmicusPresentacin"/>
                        <w:rPr>
                          <w:rFonts w:cs="Garamond"/>
                          <w:color w:val="555555"/>
                          <w:position w:val="2"/>
                          <w:sz w:val="16"/>
                          <w:szCs w:val="16"/>
                          <w:u w:val="single"/>
                          <w:lang w:val="es-MX"/>
                        </w:rPr>
                      </w:pPr>
                    </w:p>
                    <w:p w:rsidR="002204E0" w:rsidRPr="006B1A0D" w:rsidRDefault="002204E0" w:rsidP="002602AC">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2204E0" w:rsidRPr="006B1A0D" w:rsidRDefault="002204E0" w:rsidP="002602AC">
                      <w:pPr>
                        <w:tabs>
                          <w:tab w:val="left" w:pos="7814"/>
                        </w:tabs>
                        <w:rPr>
                          <w:u w:val="single"/>
                        </w:rPr>
                      </w:pPr>
                    </w:p>
                    <w:p w:rsidR="002204E0" w:rsidRPr="006B1A0D" w:rsidRDefault="002204E0" w:rsidP="002602AC">
                      <w:pPr>
                        <w:rPr>
                          <w:u w:val="single"/>
                          <w:lang w:val="es-ES"/>
                        </w:rPr>
                      </w:pPr>
                    </w:p>
                  </w:txbxContent>
                </v:textbox>
                <w10:wrap anchory="page"/>
                <w10:anchorlock/>
              </v:shape>
            </w:pict>
          </mc:Fallback>
        </mc:AlternateContent>
      </w:r>
      <w:r w:rsidR="002204E0">
        <w:rPr>
          <w:rFonts w:cs="Times New Roman"/>
          <w:b/>
          <w:szCs w:val="24"/>
        </w:rPr>
        <w:t>I. A modo de i</w:t>
      </w:r>
      <w:r w:rsidR="002204E0" w:rsidRPr="00E8751B">
        <w:rPr>
          <w:rFonts w:cs="Times New Roman"/>
          <w:b/>
          <w:szCs w:val="24"/>
        </w:rPr>
        <w:t>ntroducción</w:t>
      </w:r>
    </w:p>
    <w:p w:rsidR="002204E0" w:rsidRPr="00E8751B" w:rsidRDefault="002204E0" w:rsidP="002204E0">
      <w:pPr>
        <w:spacing w:line="360" w:lineRule="auto"/>
        <w:ind w:left="-142" w:right="-144"/>
        <w:contextualSpacing/>
        <w:jc w:val="center"/>
        <w:rPr>
          <w:rFonts w:cs="Times New Roman"/>
          <w:b/>
          <w:smallCaps/>
          <w:szCs w:val="24"/>
        </w:rPr>
      </w:pPr>
    </w:p>
    <w:p w:rsidR="002204E0" w:rsidRPr="00E8751B" w:rsidRDefault="002204E0" w:rsidP="002204E0">
      <w:pPr>
        <w:spacing w:line="360" w:lineRule="auto"/>
        <w:ind w:left="-142" w:right="-144"/>
        <w:contextualSpacing/>
        <w:rPr>
          <w:rFonts w:cs="Times New Roman"/>
          <w:szCs w:val="24"/>
        </w:rPr>
      </w:pPr>
      <w:r w:rsidRPr="00E8751B">
        <w:rPr>
          <w:rFonts w:cs="Times New Roman"/>
          <w:szCs w:val="24"/>
        </w:rPr>
        <w:t>La aparición de la auditoría ambiental dentro de los mecanismos de control significó un escalón superior en el ord</w:t>
      </w:r>
      <w:r>
        <w:rPr>
          <w:rFonts w:cs="Times New Roman"/>
          <w:szCs w:val="24"/>
        </w:rPr>
        <w:t>en de integralidad, apuntó no só</w:t>
      </w:r>
      <w:r w:rsidRPr="00E8751B">
        <w:rPr>
          <w:rFonts w:cs="Times New Roman"/>
          <w:szCs w:val="24"/>
        </w:rPr>
        <w:t>lo a la eficiencia económica</w:t>
      </w:r>
      <w:r>
        <w:rPr>
          <w:rFonts w:cs="Times New Roman"/>
          <w:szCs w:val="24"/>
        </w:rPr>
        <w:t>,</w:t>
      </w:r>
      <w:r w:rsidRPr="00E8751B">
        <w:rPr>
          <w:rFonts w:cs="Times New Roman"/>
          <w:szCs w:val="24"/>
        </w:rPr>
        <w:t xml:space="preserve"> sino a la empresa responsable con el ambiente, al impulsar y verificar el debido engranaje </w:t>
      </w:r>
      <w:r>
        <w:rPr>
          <w:rFonts w:cs="Times New Roman"/>
          <w:szCs w:val="24"/>
        </w:rPr>
        <w:t xml:space="preserve">entre los términos </w:t>
      </w:r>
      <w:r w:rsidRPr="00E8751B">
        <w:rPr>
          <w:rFonts w:cs="Times New Roman"/>
          <w:szCs w:val="24"/>
        </w:rPr>
        <w:t>optimización</w:t>
      </w:r>
      <w:r>
        <w:rPr>
          <w:rFonts w:cs="Times New Roman"/>
          <w:szCs w:val="24"/>
        </w:rPr>
        <w:t xml:space="preserve">, legitimidad, racionalidad y </w:t>
      </w:r>
      <w:r w:rsidRPr="00E8751B">
        <w:rPr>
          <w:rFonts w:cs="Times New Roman"/>
          <w:szCs w:val="24"/>
        </w:rPr>
        <w:t>competitividad.</w:t>
      </w:r>
    </w:p>
    <w:p w:rsidR="002204E0" w:rsidRPr="00E8751B" w:rsidRDefault="002204E0" w:rsidP="002204E0">
      <w:pPr>
        <w:spacing w:line="360" w:lineRule="auto"/>
        <w:ind w:left="-142" w:right="-144"/>
        <w:contextualSpacing/>
        <w:rPr>
          <w:rFonts w:cs="Times New Roman"/>
          <w:szCs w:val="24"/>
        </w:rPr>
      </w:pPr>
      <w:r w:rsidRPr="00E8751B">
        <w:rPr>
          <w:rFonts w:cs="Times New Roman"/>
          <w:szCs w:val="24"/>
        </w:rPr>
        <w:t xml:space="preserve"> </w:t>
      </w: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auditoría se inserta entre los factores de estimulación de fórmulas empresariales correspondientes a la resolución de la contradicción eje de los modelos económicos: ilimitadas necesidades individuales y colectivas y limitados recursos materiales disponibles para satisfacerlas, a partir de un desarrollo sostenible.</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contextualSpacing/>
        <w:rPr>
          <w:rFonts w:cs="Times New Roman"/>
          <w:szCs w:val="24"/>
        </w:rPr>
      </w:pPr>
      <w:r>
        <w:rPr>
          <w:rFonts w:cs="Times New Roman"/>
          <w:szCs w:val="24"/>
        </w:rPr>
        <w:t xml:space="preserve">       </w:t>
      </w:r>
      <w:r w:rsidRPr="00E8751B">
        <w:rPr>
          <w:rFonts w:cs="Times New Roman"/>
          <w:szCs w:val="24"/>
        </w:rPr>
        <w:t>La historia revela que los países de mayor desarrollo industrial fueron los abanderados al instrumentarla a través de metodologías y técnicas en su ejecución dentro de sus ordenamientos jurídicos. Su conformación se vincula a elementos históricos, teóricos, doctrinales, legislativos y culturales con la práctica de la actividad de la auditoría y la contabilidad social, ligados a la responsabilidad social empresarial a partir de 1953 del siglo XX.</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década de los</w:t>
      </w:r>
      <w:r>
        <w:rPr>
          <w:rFonts w:cs="Times New Roman"/>
          <w:szCs w:val="24"/>
        </w:rPr>
        <w:t xml:space="preserve"> setenta</w:t>
      </w:r>
      <w:r w:rsidRPr="00E8751B">
        <w:rPr>
          <w:rFonts w:cs="Times New Roman"/>
          <w:szCs w:val="24"/>
        </w:rPr>
        <w:t xml:space="preserve"> marca al empresariado norteamericano como los primeros en aplicarla de manera voluntaria. Reconocida como una herramienta de gestión para minimizar los impactos ambientales negativos generados por la actividad humana y como una estrategia de la administración pública para proteger el bien jurídico ambiental, considerado bien público d</w:t>
      </w:r>
      <w:r>
        <w:rPr>
          <w:rFonts w:cs="Times New Roman"/>
          <w:szCs w:val="24"/>
        </w:rPr>
        <w:t>esde de la década de los años ochenta</w:t>
      </w:r>
      <w:r w:rsidRPr="00E8751B">
        <w:rPr>
          <w:rFonts w:cs="Times New Roman"/>
          <w:szCs w:val="24"/>
        </w:rPr>
        <w:t xml:space="preserve">, como continuidad de un proceso de conformación jurídica institucional desde el derecho ambiental.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El análisis de los acuerdos, convenios y metodologías establecidas por las Entidades Fiscalizadoras Superiores (EFS), innovadoras de esta tipología de auditoría</w:t>
      </w:r>
      <w:r>
        <w:rPr>
          <w:rFonts w:cs="Times New Roman"/>
          <w:szCs w:val="24"/>
        </w:rPr>
        <w:t>,</w:t>
      </w:r>
      <w:r w:rsidRPr="00E8751B">
        <w:rPr>
          <w:rFonts w:cs="Times New Roman"/>
          <w:szCs w:val="24"/>
        </w:rPr>
        <w:t xml:space="preserve"> permitió conocer cómo se reguló en los ordenamientos jurídicos </w:t>
      </w:r>
      <w:r>
        <w:rPr>
          <w:rFonts w:cs="Times New Roman"/>
          <w:szCs w:val="24"/>
        </w:rPr>
        <w:t xml:space="preserve">la auditoría ambiental </w:t>
      </w:r>
      <w:r w:rsidRPr="00E8751B">
        <w:rPr>
          <w:rFonts w:cs="Times New Roman"/>
          <w:szCs w:val="24"/>
        </w:rPr>
        <w:t>con la finalidad de que los empresarios conocieran los índices de contaminación generados como resultado de la producción industrial de bienes y servicios y estimular el uso de las tecnologías limpias, los sistemas de gestión ambiental (SGA) y otros instrumentos en materia contable para obtener la certificación a</w:t>
      </w:r>
      <w:r>
        <w:rPr>
          <w:rFonts w:cs="Times New Roman"/>
          <w:szCs w:val="24"/>
        </w:rPr>
        <w:t>mbiental a partir de los años noventa</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 xml:space="preserve">La auditoría ambiental constituyó una respuesta estratégica de la administración pública para modificar los hábitos de consumo y estilos de vida contrarios al desarrollo sostenible, como efectos negativos del desarrollo tecnológico y las transformaciones económico-sociales de la época. Reveló el reto al crear instrumentos y herramientas que viabilizaran su aplicación y permitieran el equilibrio entre los avances de la tecnología y el ambiente a través de políticas públicas y normas.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En Iberoamérica los estudios contables sobre este tipo de auditoría no se circunscriben a un solo sistema de propiedad, autores como </w:t>
      </w:r>
      <w:r w:rsidRPr="00907BAD">
        <w:rPr>
          <w:rFonts w:cs="Times New Roman"/>
          <w:szCs w:val="24"/>
        </w:rPr>
        <w:t>Wolisky</w:t>
      </w:r>
      <w:r w:rsidRPr="00907BAD">
        <w:rPr>
          <w:rStyle w:val="Refdenotaalpie"/>
          <w:rFonts w:cs="Times New Roman"/>
          <w:szCs w:val="24"/>
        </w:rPr>
        <w:footnoteReference w:id="1"/>
      </w:r>
      <w:r w:rsidRPr="00907BAD">
        <w:rPr>
          <w:rFonts w:cs="Times New Roman"/>
          <w:szCs w:val="24"/>
        </w:rPr>
        <w:t>, González Malaxechevarría</w:t>
      </w:r>
      <w:r w:rsidRPr="00907BAD">
        <w:rPr>
          <w:rStyle w:val="Refdenotaalpie"/>
          <w:rFonts w:cs="Times New Roman"/>
          <w:szCs w:val="24"/>
        </w:rPr>
        <w:footnoteReference w:id="2"/>
      </w:r>
      <w:r w:rsidRPr="00907BAD">
        <w:rPr>
          <w:rFonts w:cs="Times New Roman"/>
          <w:szCs w:val="24"/>
        </w:rPr>
        <w:t>, Conesa Fernández-Vitora</w:t>
      </w:r>
      <w:r w:rsidRPr="00907BAD">
        <w:rPr>
          <w:rStyle w:val="Refdenotaalpie"/>
          <w:rFonts w:cs="Times New Roman"/>
          <w:szCs w:val="24"/>
        </w:rPr>
        <w:footnoteReference w:id="3"/>
      </w:r>
      <w:r w:rsidRPr="00907BAD">
        <w:rPr>
          <w:rFonts w:cs="Times New Roman"/>
          <w:szCs w:val="24"/>
        </w:rPr>
        <w:t>, Terán Contreras</w:t>
      </w:r>
      <w:r w:rsidRPr="00907BAD">
        <w:rPr>
          <w:rStyle w:val="Refdenotaalpie"/>
          <w:rFonts w:cs="Times New Roman"/>
          <w:szCs w:val="24"/>
        </w:rPr>
        <w:footnoteReference w:id="4"/>
      </w:r>
      <w:r w:rsidRPr="00907BAD">
        <w:rPr>
          <w:rFonts w:cs="Times New Roman"/>
          <w:szCs w:val="24"/>
        </w:rPr>
        <w:t xml:space="preserve"> </w:t>
      </w:r>
      <w:r>
        <w:rPr>
          <w:szCs w:val="24"/>
        </w:rPr>
        <w:t>y</w:t>
      </w:r>
      <w:r w:rsidRPr="00907BAD">
        <w:rPr>
          <w:rFonts w:cs="Times New Roman"/>
          <w:szCs w:val="24"/>
        </w:rPr>
        <w:t xml:space="preserve"> Bifaretti</w:t>
      </w:r>
      <w:r w:rsidRPr="00E8751B">
        <w:rPr>
          <w:rStyle w:val="Refdenotaalpie"/>
          <w:rFonts w:cs="Times New Roman"/>
          <w:smallCaps/>
          <w:szCs w:val="24"/>
        </w:rPr>
        <w:footnoteReference w:id="5"/>
      </w:r>
      <w:r w:rsidRPr="00E8751B">
        <w:rPr>
          <w:rFonts w:cs="Times New Roman"/>
          <w:szCs w:val="24"/>
        </w:rPr>
        <w:t xml:space="preserve"> muestra</w:t>
      </w:r>
      <w:r>
        <w:rPr>
          <w:rFonts w:cs="Times New Roman"/>
          <w:szCs w:val="24"/>
        </w:rPr>
        <w:t>n que esta actividad de control</w:t>
      </w:r>
      <w:r w:rsidRPr="00E8751B">
        <w:rPr>
          <w:rFonts w:cs="Times New Roman"/>
          <w:szCs w:val="24"/>
        </w:rPr>
        <w:t xml:space="preserve"> </w:t>
      </w:r>
      <w:r>
        <w:rPr>
          <w:rFonts w:cs="Times New Roman"/>
          <w:szCs w:val="24"/>
        </w:rPr>
        <w:t>—</w:t>
      </w:r>
      <w:r w:rsidRPr="00E8751B">
        <w:rPr>
          <w:rFonts w:cs="Times New Roman"/>
          <w:szCs w:val="24"/>
        </w:rPr>
        <w:t>reconocida también como actividad de se</w:t>
      </w:r>
      <w:r>
        <w:rPr>
          <w:rFonts w:cs="Times New Roman"/>
          <w:szCs w:val="24"/>
        </w:rPr>
        <w:t>rvicio público—</w:t>
      </w:r>
      <w:r w:rsidRPr="00E8751B">
        <w:rPr>
          <w:rFonts w:cs="Times New Roman"/>
          <w:szCs w:val="24"/>
        </w:rPr>
        <w:t xml:space="preserve"> ha ido en evolución con el aumento de su espectro de actuación, está vinculada al fomento, al tributo ambiental, al uso de las tecnologías limpias, al seguro ambiental, a la implementación de los SGA y a la inserción de los conceptos de economía y contabilidad ambiental dentro de las formas de gestión auditadas.</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A partir de 1990 empiezan a publicarse estudios desde las ciencias jurídicas por autores como </w:t>
      </w:r>
      <w:r w:rsidRPr="00907BAD">
        <w:rPr>
          <w:rFonts w:cs="Times New Roman"/>
          <w:szCs w:val="24"/>
        </w:rPr>
        <w:t>Caferrata</w:t>
      </w:r>
      <w:r w:rsidRPr="00907BAD">
        <w:rPr>
          <w:rStyle w:val="Refdenotaalpie"/>
          <w:rFonts w:cs="Times New Roman"/>
          <w:szCs w:val="24"/>
        </w:rPr>
        <w:footnoteReference w:id="6"/>
      </w:r>
      <w:r w:rsidRPr="00907BAD">
        <w:rPr>
          <w:rFonts w:cs="Times New Roman"/>
          <w:szCs w:val="24"/>
        </w:rPr>
        <w:t>, Carmona Lara</w:t>
      </w:r>
      <w:r w:rsidRPr="00907BAD">
        <w:rPr>
          <w:rStyle w:val="Refdenotaalpie"/>
          <w:rFonts w:cs="Times New Roman"/>
          <w:szCs w:val="24"/>
        </w:rPr>
        <w:footnoteReference w:id="7"/>
      </w:r>
      <w:r w:rsidRPr="00907BAD">
        <w:rPr>
          <w:rFonts w:cs="Times New Roman"/>
          <w:szCs w:val="24"/>
        </w:rPr>
        <w:t>, Martín Mateo</w:t>
      </w:r>
      <w:r w:rsidRPr="00907BAD">
        <w:rPr>
          <w:rStyle w:val="Refdenotaalpie"/>
          <w:rFonts w:cs="Times New Roman"/>
          <w:szCs w:val="24"/>
        </w:rPr>
        <w:footnoteReference w:id="8"/>
      </w:r>
      <w:r w:rsidRPr="00907BAD">
        <w:rPr>
          <w:rFonts w:cs="Times New Roman"/>
          <w:szCs w:val="24"/>
        </w:rPr>
        <w:t xml:space="preserve"> y de Bessa Antunes</w:t>
      </w:r>
      <w:r w:rsidRPr="00E8751B">
        <w:rPr>
          <w:rStyle w:val="Refdenotaalpie"/>
          <w:rFonts w:cs="Times New Roman"/>
          <w:smallCaps/>
          <w:szCs w:val="24"/>
        </w:rPr>
        <w:footnoteReference w:id="9"/>
      </w:r>
      <w:r w:rsidRPr="00E8751B">
        <w:rPr>
          <w:rFonts w:cs="Times New Roman"/>
          <w:szCs w:val="24"/>
        </w:rPr>
        <w:t xml:space="preserve">, estos reflejan la expresión jurídica de la política pública ambiental al aplicarse las herramientas de gestión para determinar los niveles de contaminación, exigir la responsabilidad ambiental, aplicar la evaluación de impacto ambiental, la cuantificación del daño ambiental, los servicios públicos ambientales, la auditoría ambiental, el uso de tecnologías limpias y la aplicación de los SGA. </w:t>
      </w: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 xml:space="preserve">Al continuar el </w:t>
      </w:r>
      <w:r w:rsidRPr="00E8751B">
        <w:rPr>
          <w:rFonts w:cs="Times New Roman"/>
          <w:i/>
          <w:szCs w:val="24"/>
        </w:rPr>
        <w:t>íter</w:t>
      </w:r>
      <w:r w:rsidRPr="00E8751B">
        <w:rPr>
          <w:rFonts w:cs="Times New Roman"/>
          <w:szCs w:val="24"/>
        </w:rPr>
        <w:t xml:space="preserve"> evolutivo del control ambiental, tras la sistematización realizada</w:t>
      </w:r>
      <w:r>
        <w:rPr>
          <w:rFonts w:cs="Times New Roman"/>
          <w:szCs w:val="24"/>
        </w:rPr>
        <w:t>,</w:t>
      </w:r>
      <w:r w:rsidRPr="00E8751B">
        <w:rPr>
          <w:rFonts w:cs="Times New Roman"/>
          <w:szCs w:val="24"/>
        </w:rPr>
        <w:t xml:space="preserve"> las nuevas tendencias de las EFS develan nuevas tipos de la auditoría, las que trascienden del escenario industrial hacia el de la naturaleza en el siglo XXI, por la pertinencia de la cuestión </w:t>
      </w:r>
      <w:r w:rsidRPr="00E8751B">
        <w:rPr>
          <w:rFonts w:cs="Times New Roman"/>
          <w:i/>
          <w:szCs w:val="24"/>
        </w:rPr>
        <w:t>ius</w:t>
      </w:r>
      <w:r w:rsidRPr="00E8751B">
        <w:rPr>
          <w:rFonts w:cs="Times New Roman"/>
          <w:szCs w:val="24"/>
        </w:rPr>
        <w:t xml:space="preserve"> ambie</w:t>
      </w:r>
      <w:r>
        <w:rPr>
          <w:rFonts w:cs="Times New Roman"/>
          <w:szCs w:val="24"/>
        </w:rPr>
        <w:t>ntalista para preservar el</w:t>
      </w:r>
      <w:r w:rsidRPr="00E8751B">
        <w:rPr>
          <w:rFonts w:cs="Times New Roman"/>
          <w:szCs w:val="24"/>
        </w:rPr>
        <w:t xml:space="preserve"> ambiente para las futuras </w:t>
      </w:r>
      <w:r>
        <w:rPr>
          <w:rFonts w:cs="Times New Roman"/>
          <w:szCs w:val="24"/>
        </w:rPr>
        <w:t>generaciones, clasificadas como</w:t>
      </w:r>
      <w:r w:rsidRPr="00E8751B">
        <w:rPr>
          <w:rFonts w:cs="Times New Roman"/>
          <w:szCs w:val="24"/>
        </w:rPr>
        <w:t xml:space="preserve"> auditoría de gestión coordinada a los recursos hídricos y a la biodiversidad y la auditoría de seguimiento al cambio climático. </w:t>
      </w:r>
      <w:r>
        <w:rPr>
          <w:rFonts w:cs="Times New Roman"/>
          <w:szCs w:val="24"/>
        </w:rPr>
        <w:t>Éstas</w:t>
      </w:r>
      <w:r w:rsidRPr="00E8751B">
        <w:rPr>
          <w:rFonts w:cs="Times New Roman"/>
          <w:szCs w:val="24"/>
        </w:rPr>
        <w:t xml:space="preserve"> permiten evaluar el comportamiento de las políticas públicas, las estrategias trazadas y fomentar de la cultura ambiental por el Estado.</w:t>
      </w:r>
    </w:p>
    <w:p w:rsidR="002204E0" w:rsidRPr="00E8751B" w:rsidRDefault="002204E0" w:rsidP="002204E0">
      <w:pPr>
        <w:spacing w:line="360" w:lineRule="auto"/>
        <w:ind w:left="-142" w:right="-144"/>
        <w:contextualSpacing/>
        <w:rPr>
          <w:rFonts w:cs="Times New Roman"/>
          <w:b/>
          <w:szCs w:val="24"/>
        </w:rPr>
      </w:pPr>
    </w:p>
    <w:p w:rsidR="002204E0" w:rsidRPr="00E8751B" w:rsidRDefault="002204E0" w:rsidP="002204E0">
      <w:pPr>
        <w:spacing w:line="360" w:lineRule="auto"/>
        <w:ind w:left="-142" w:right="-144"/>
        <w:contextualSpacing/>
        <w:rPr>
          <w:rFonts w:cs="Times New Roman"/>
          <w:b/>
          <w:szCs w:val="24"/>
        </w:rPr>
      </w:pPr>
      <w:r>
        <w:rPr>
          <w:rFonts w:cs="Times New Roman"/>
          <w:b/>
          <w:smallCaps/>
          <w:szCs w:val="24"/>
        </w:rPr>
        <w:t>II</w:t>
      </w:r>
      <w:r w:rsidRPr="00E8751B">
        <w:rPr>
          <w:rFonts w:cs="Times New Roman"/>
          <w:b/>
          <w:smallCaps/>
          <w:szCs w:val="24"/>
        </w:rPr>
        <w:t xml:space="preserve">. </w:t>
      </w:r>
      <w:r w:rsidRPr="00E8751B">
        <w:rPr>
          <w:rFonts w:cs="Times New Roman"/>
          <w:b/>
          <w:i/>
          <w:szCs w:val="24"/>
        </w:rPr>
        <w:t>Íter</w:t>
      </w:r>
      <w:r w:rsidRPr="00E8751B">
        <w:rPr>
          <w:rFonts w:cs="Times New Roman"/>
          <w:b/>
          <w:szCs w:val="24"/>
        </w:rPr>
        <w:t xml:space="preserve"> histórico de la auditoría ambiental dentro del</w:t>
      </w:r>
      <w:r w:rsidRPr="00E8751B">
        <w:rPr>
          <w:rFonts w:cs="Times New Roman"/>
          <w:b/>
          <w:smallCaps/>
          <w:szCs w:val="24"/>
        </w:rPr>
        <w:t xml:space="preserve"> </w:t>
      </w:r>
      <w:r w:rsidRPr="00E8751B">
        <w:rPr>
          <w:rFonts w:cs="Times New Roman"/>
          <w:b/>
          <w:szCs w:val="24"/>
        </w:rPr>
        <w:t>derecho ambiental</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contextualSpacing/>
        <w:rPr>
          <w:rFonts w:cs="Times New Roman"/>
          <w:szCs w:val="24"/>
        </w:rPr>
      </w:pPr>
      <w:r w:rsidRPr="00E8751B">
        <w:rPr>
          <w:rFonts w:cs="Times New Roman"/>
          <w:szCs w:val="24"/>
        </w:rPr>
        <w:t>La preocupación mundial por la protección ambiental alcanza importancia y magnitud en los últimos años de la centuria pasada, convertida en temática de interés para la mayoría del empresariado ante las consecuencias negativas generadas por la contaminación industrial al propiciar daños ambientales en los primeros años del siglo XXI de consecuencias alarmantes. Protección que se manifiesta en tres dimensiones: la económica, la social y la ambiental. Donde el desarrollo industrial de cada nación, bien equilibrado</w:t>
      </w:r>
      <w:r>
        <w:rPr>
          <w:rFonts w:cs="Times New Roman"/>
          <w:szCs w:val="24"/>
        </w:rPr>
        <w:t>,</w:t>
      </w:r>
      <w:r w:rsidRPr="00E8751B">
        <w:rPr>
          <w:rFonts w:cs="Times New Roman"/>
          <w:szCs w:val="24"/>
        </w:rPr>
        <w:t xml:space="preserve"> es el objetivo esencial para generar recursos, empleos y promover la educación ambiental de una manera adecuada, como las bases para lograr el bienestar social y la calidad de vida para alcanzar el desarrollo sostenible de cada país, de la lectura realizada del académico</w:t>
      </w:r>
      <w:r w:rsidRPr="00644EF4">
        <w:rPr>
          <w:rFonts w:cs="Times New Roman"/>
          <w:szCs w:val="24"/>
        </w:rPr>
        <w:t xml:space="preserve"> Lorenzetti</w:t>
      </w:r>
      <w:r w:rsidRPr="00E8751B">
        <w:rPr>
          <w:rFonts w:cs="Times New Roman"/>
          <w:smallCaps/>
          <w:szCs w:val="24"/>
        </w:rPr>
        <w:t>.</w:t>
      </w:r>
      <w:r w:rsidRPr="00E8751B">
        <w:rPr>
          <w:rStyle w:val="Refdenotaalpie"/>
          <w:rFonts w:cs="Times New Roman"/>
          <w:smallCaps/>
          <w:szCs w:val="24"/>
        </w:rPr>
        <w:footnoteReference w:id="10"/>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El desarrollo tecnológico no podrá ser depredador del ambiente, donde </w:t>
      </w:r>
      <w:r>
        <w:rPr>
          <w:rFonts w:cs="Times New Roman"/>
          <w:szCs w:val="24"/>
        </w:rPr>
        <w:t>el d</w:t>
      </w:r>
      <w:r w:rsidRPr="00E8751B">
        <w:rPr>
          <w:rFonts w:cs="Times New Roman"/>
          <w:szCs w:val="24"/>
        </w:rPr>
        <w:t xml:space="preserve">erecho como ciencia social se instituye como el medio para favorecer su desenvolvimiento ambientalmente amigable. Paralelamente al extraordinario progreso científico y tecnológico que hoy existe, ha permitido un alto nivel de vida en las sociedades desarrolladas, donde hoy, más que nunca, se advierten los innumerables riesgos originados por el propio desarrollo tecnológico y sobre los que, pese a dicho progreso, sigue presente la incertidumbre científica </w:t>
      </w:r>
      <w:r>
        <w:rPr>
          <w:rFonts w:cs="Times New Roman"/>
          <w:szCs w:val="24"/>
        </w:rPr>
        <w:t>respecto de</w:t>
      </w:r>
      <w:r w:rsidRPr="00E8751B">
        <w:rPr>
          <w:rFonts w:cs="Times New Roman"/>
          <w:szCs w:val="24"/>
        </w:rPr>
        <w:t xml:space="preserve"> sus efectos que se generarán </w:t>
      </w:r>
      <w:r>
        <w:rPr>
          <w:rFonts w:cs="Times New Roman"/>
          <w:szCs w:val="24"/>
        </w:rPr>
        <w:t>sobre el</w:t>
      </w:r>
      <w:r w:rsidRPr="00E8751B">
        <w:rPr>
          <w:rFonts w:cs="Times New Roman"/>
          <w:szCs w:val="24"/>
        </w:rPr>
        <w:t xml:space="preserve"> ambiente y</w:t>
      </w:r>
      <w:r>
        <w:rPr>
          <w:rFonts w:cs="Times New Roman"/>
          <w:szCs w:val="24"/>
        </w:rPr>
        <w:t>,</w:t>
      </w:r>
      <w:r w:rsidRPr="00E8751B">
        <w:rPr>
          <w:rFonts w:cs="Times New Roman"/>
          <w:szCs w:val="24"/>
        </w:rPr>
        <w:t xml:space="preserve"> a la salud humana, los que pueden ser atenuados sí se aplica el principio precautorio</w:t>
      </w:r>
      <w:r>
        <w:rPr>
          <w:rFonts w:cs="Times New Roman"/>
          <w:szCs w:val="24"/>
        </w:rPr>
        <w:t xml:space="preserve"> desde el derecho a</w:t>
      </w:r>
      <w:r w:rsidRPr="00E8751B">
        <w:rPr>
          <w:rFonts w:cs="Times New Roman"/>
          <w:szCs w:val="24"/>
        </w:rPr>
        <w:t xml:space="preserve">mbiental.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En diferentes países las </w:t>
      </w:r>
      <w:r>
        <w:rPr>
          <w:rFonts w:cs="Times New Roman"/>
          <w:szCs w:val="24"/>
        </w:rPr>
        <w:t>instituciones</w:t>
      </w:r>
      <w:r w:rsidRPr="00E8751B">
        <w:rPr>
          <w:rFonts w:cs="Times New Roman"/>
          <w:szCs w:val="24"/>
        </w:rPr>
        <w:t xml:space="preserve"> jurídicas or</w:t>
      </w:r>
      <w:r>
        <w:rPr>
          <w:rFonts w:cs="Times New Roman"/>
          <w:szCs w:val="24"/>
        </w:rPr>
        <w:t>iginadas desde el derecho administrativo hacia el derecho a</w:t>
      </w:r>
      <w:r w:rsidRPr="00E8751B">
        <w:rPr>
          <w:rFonts w:cs="Times New Roman"/>
          <w:szCs w:val="24"/>
        </w:rPr>
        <w:t xml:space="preserve">mbiental han tenido como objeto la protección del bien público ambiental por su uso colectivo, </w:t>
      </w:r>
      <w:r w:rsidRPr="00E8751B">
        <w:rPr>
          <w:rFonts w:cs="Times New Roman"/>
          <w:szCs w:val="24"/>
        </w:rPr>
        <w:lastRenderedPageBreak/>
        <w:t xml:space="preserve">reconocido como </w:t>
      </w:r>
      <w:r>
        <w:rPr>
          <w:rFonts w:cs="Times New Roman"/>
          <w:szCs w:val="24"/>
        </w:rPr>
        <w:t>derecho administrativo a</w:t>
      </w:r>
      <w:r w:rsidRPr="00E8751B">
        <w:rPr>
          <w:rFonts w:cs="Times New Roman"/>
          <w:szCs w:val="24"/>
        </w:rPr>
        <w:t xml:space="preserve">mbiental por autores como </w:t>
      </w:r>
      <w:r w:rsidRPr="00647932">
        <w:rPr>
          <w:rFonts w:cs="Times New Roman"/>
          <w:szCs w:val="24"/>
        </w:rPr>
        <w:t>Sanz Larruga</w:t>
      </w:r>
      <w:r w:rsidRPr="00647932">
        <w:rPr>
          <w:rStyle w:val="Refdenotaalpie"/>
          <w:rFonts w:cs="Times New Roman"/>
          <w:szCs w:val="24"/>
        </w:rPr>
        <w:footnoteReference w:id="11"/>
      </w:r>
      <w:r w:rsidRPr="00647932">
        <w:rPr>
          <w:rFonts w:cs="Times New Roman"/>
          <w:szCs w:val="24"/>
        </w:rPr>
        <w:t>, Betancor Rodríguez</w:t>
      </w:r>
      <w:r w:rsidRPr="00647932">
        <w:rPr>
          <w:rStyle w:val="Refdenotaalpie"/>
          <w:rFonts w:cs="Times New Roman"/>
          <w:szCs w:val="24"/>
        </w:rPr>
        <w:footnoteReference w:id="12"/>
      </w:r>
      <w:r w:rsidRPr="00647932">
        <w:rPr>
          <w:rFonts w:cs="Times New Roman"/>
          <w:szCs w:val="24"/>
        </w:rPr>
        <w:t xml:space="preserve"> y Mora Ruiz</w:t>
      </w:r>
      <w:r w:rsidRPr="00E8751B">
        <w:rPr>
          <w:rStyle w:val="Refdenotaalpie"/>
          <w:rFonts w:cs="Times New Roman"/>
          <w:smallCaps/>
          <w:szCs w:val="24"/>
        </w:rPr>
        <w:footnoteReference w:id="13"/>
      </w:r>
      <w:r w:rsidRPr="00E8751B">
        <w:rPr>
          <w:rFonts w:cs="Times New Roman"/>
          <w:szCs w:val="24"/>
        </w:rPr>
        <w:t xml:space="preserve">, factores que han permitido diseñar las pautas y los límites al fenómeno progresivo de la contaminación industrial generadas por las formas de gestión en la producción de bienes y servicios.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Dentro de la doctrina contrastada por este autor se aprecia la regulación de la institución jurídica de la auditoría ambiental, concebida como una de las herramientas de gestión ambiental aplicadas para la evaluación a las empresas y a la industria, al decir de </w:t>
      </w:r>
      <w:r w:rsidRPr="00647932">
        <w:rPr>
          <w:rFonts w:cs="Times New Roman"/>
          <w:szCs w:val="24"/>
        </w:rPr>
        <w:t>Lozano Cutanda</w:t>
      </w:r>
      <w:r w:rsidR="00841929">
        <w:rPr>
          <w:rFonts w:cs="Times New Roman"/>
          <w:szCs w:val="24"/>
        </w:rPr>
        <w:t>.</w:t>
      </w:r>
      <w:r w:rsidRPr="00647932">
        <w:rPr>
          <w:rStyle w:val="Refdenotaalpie"/>
          <w:rFonts w:cs="Times New Roman"/>
          <w:smallCaps/>
          <w:szCs w:val="24"/>
        </w:rPr>
        <w:footnoteReference w:id="14"/>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El sector industrial, mayor generador de daños ambientales contrarios al desarrollo sostenible</w:t>
      </w:r>
      <w:r>
        <w:rPr>
          <w:rFonts w:cs="Times New Roman"/>
          <w:szCs w:val="24"/>
        </w:rPr>
        <w:t>,</w:t>
      </w:r>
      <w:r w:rsidRPr="00E8751B">
        <w:rPr>
          <w:rFonts w:cs="Times New Roman"/>
          <w:szCs w:val="24"/>
        </w:rPr>
        <w:t xml:space="preserve"> ha permitido desarrollar políticas ambientales a la administración púbica, exigiendo a los empresarios la implementación en las formas de gestión los SGA </w:t>
      </w:r>
      <w:r>
        <w:rPr>
          <w:rFonts w:cs="Times New Roman"/>
          <w:szCs w:val="24"/>
        </w:rPr>
        <w:t>y el uso de tecnologías limpias</w:t>
      </w:r>
      <w:r w:rsidRPr="00E8751B">
        <w:rPr>
          <w:rFonts w:cs="Times New Roman"/>
          <w:szCs w:val="24"/>
        </w:rPr>
        <w:t xml:space="preserve"> para reducir la contaminación ambiental dentro de los límites permisibles.</w:t>
      </w:r>
      <w:r>
        <w:rPr>
          <w:rFonts w:cs="Times New Roman"/>
          <w:szCs w:val="24"/>
        </w:rPr>
        <w:t xml:space="preserve"> </w:t>
      </w:r>
      <w:r w:rsidRPr="00E8751B">
        <w:rPr>
          <w:rFonts w:cs="Times New Roman"/>
          <w:szCs w:val="24"/>
        </w:rPr>
        <w:t>La preocupación de los empresarios ante la problemática ambiental declarada en los cónclaves universales ambientales ha sido el elemento para tomar acciones que permitan disminuir la contaminación generada por estas industrias; pero las respuestas dadas hasta ahora por los líderes de los Estados no han sido adecuadas en su mayoría al no existir consenso en adoptar acuerdos que permitan mitigar la contaminación ambiental que afecta el equilibrio natural del planeta.</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Los análisis en esta dirección deberán evaluar los efectos de la contaminación en el hombre, de los sistemas ecológicos e implementar el SGA; también convendría distinguir la contaminación natural y la contaminación industrial desde el comienzo de la humanidad, acelerada a partir de la </w:t>
      </w:r>
      <w:r>
        <w:rPr>
          <w:rFonts w:cs="Times New Roman"/>
          <w:szCs w:val="24"/>
        </w:rPr>
        <w:t xml:space="preserve">Primera </w:t>
      </w:r>
      <w:r w:rsidRPr="00E8751B">
        <w:rPr>
          <w:rFonts w:cs="Times New Roman"/>
          <w:szCs w:val="24"/>
        </w:rPr>
        <w:t xml:space="preserve">Revolución Industrial como la generadora de los graves problemas ecológicos </w:t>
      </w:r>
      <w:r>
        <w:rPr>
          <w:rFonts w:cs="Times New Roman"/>
          <w:szCs w:val="24"/>
        </w:rPr>
        <w:t>—crisis ecológica—</w:t>
      </w:r>
      <w:r w:rsidRPr="00E8751B">
        <w:rPr>
          <w:rFonts w:cs="Times New Roman"/>
          <w:szCs w:val="24"/>
        </w:rPr>
        <w:t xml:space="preserve"> y de la no adecuada prudencia ecológica por el hombre para lograr el desarrollo sostenible, la que ha ido en crecimiento, de lo considerado por </w:t>
      </w:r>
      <w:r w:rsidRPr="00647932">
        <w:rPr>
          <w:rFonts w:cs="Times New Roman"/>
          <w:szCs w:val="24"/>
        </w:rPr>
        <w:t>Méndez Gutiérrez del Valle</w:t>
      </w:r>
      <w:r w:rsidRPr="00E8751B">
        <w:rPr>
          <w:rFonts w:cs="Times New Roman"/>
          <w:szCs w:val="24"/>
        </w:rPr>
        <w:t xml:space="preserve">. </w:t>
      </w:r>
      <w:r w:rsidRPr="00E8751B">
        <w:rPr>
          <w:rStyle w:val="Refdenotaalpie"/>
          <w:rFonts w:cs="Times New Roman"/>
          <w:szCs w:val="24"/>
        </w:rPr>
        <w:footnoteReference w:id="15"/>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Desde este punto de vista, análisis realizados desde la doctrina contable y desde la doctrina </w:t>
      </w:r>
      <w:r w:rsidRPr="00E8751B">
        <w:rPr>
          <w:rFonts w:cs="Times New Roman"/>
          <w:i/>
          <w:szCs w:val="24"/>
        </w:rPr>
        <w:t>ius</w:t>
      </w:r>
      <w:r w:rsidRPr="00E8751B">
        <w:rPr>
          <w:rFonts w:cs="Times New Roman"/>
          <w:szCs w:val="24"/>
        </w:rPr>
        <w:t xml:space="preserve"> ambientalista en los países de Iberoamérica y en la Unión Europea reconocen a la auditoría ambiental como la </w:t>
      </w:r>
      <w:r w:rsidRPr="00E8751B">
        <w:rPr>
          <w:rFonts w:cs="Times New Roman"/>
          <w:szCs w:val="24"/>
        </w:rPr>
        <w:lastRenderedPageBreak/>
        <w:t xml:space="preserve">herramienta de gestión capaz de evaluar y sentar de manera adecuada las bases de las políticas ambientales en las empresas e industrias, permite con ello ejecutar los análisis de los riesgos ambientales generados en el desempeño de una actividad y evaluar su impacto </w:t>
      </w:r>
      <w:r>
        <w:rPr>
          <w:rFonts w:cs="Times New Roman"/>
          <w:szCs w:val="24"/>
        </w:rPr>
        <w:t>al</w:t>
      </w:r>
      <w:r w:rsidRPr="00E8751B">
        <w:rPr>
          <w:rFonts w:cs="Times New Roman"/>
          <w:szCs w:val="24"/>
        </w:rPr>
        <w:t xml:space="preserve"> ambiente con la integración de otras herramientas de gestión. </w:t>
      </w:r>
    </w:p>
    <w:p w:rsidR="002204E0"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auditoría ambiental es practicada de forma voluntaria y obligatoria en el ordenamiento jurídico que la regule, su ejecución fusiona el objetivo prioritario de la empresa, la obtención de beneficios y el cumplimiento de la protección ambiental. Con ello se contribuye al desarrollo compatible con la conservación ambiental, con un adecuado equilibrio entre el progreso científico y la naturaleza.</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Esta actividad auditora tiene como referente a la obra de </w:t>
      </w:r>
      <w:r w:rsidRPr="006B492F">
        <w:rPr>
          <w:rFonts w:cs="Times New Roman"/>
          <w:szCs w:val="24"/>
        </w:rPr>
        <w:t>Paccioli</w:t>
      </w:r>
      <w:r w:rsidRPr="00E8751B">
        <w:rPr>
          <w:rFonts w:cs="Times New Roman"/>
          <w:szCs w:val="24"/>
        </w:rPr>
        <w:t xml:space="preserve"> publicada en 1494, con la teoría de la “partida doble”, evidencia que desde el año 254 a. n. e. se inspeccionaban y comprobaban las cuentas, factor que permitió la evolución paralela de la actividad de la auditoría como resultado de la práctica de la contabilidad como ciencia y herramienta de los especialistas formados con el desarrollo industrial. Otros datos y documentos confirman que en los finales del siglo XIII y principios del XIV se auditaban las operaciones de los funcionarios públicos que tenían a su cargo los fondos del Estado. Para 1799 ya existían firmas acreditadas de contadores públicos en países como Escocia, Estados Unidos de América e Inglaterra, estos fueron los primeros en los cuales tomó relevancia la contaduría pública ligada a la práctica de la auditoría pública por parte de la administración pública, al decir de </w:t>
      </w:r>
      <w:r w:rsidRPr="00B6223C">
        <w:rPr>
          <w:rFonts w:cs="Times New Roman"/>
          <w:szCs w:val="24"/>
        </w:rPr>
        <w:t>Elstein</w:t>
      </w:r>
      <w:r w:rsidRPr="00E8751B">
        <w:rPr>
          <w:rStyle w:val="Refdenotaalpie"/>
          <w:rFonts w:cs="Times New Roman"/>
          <w:smallCaps/>
          <w:szCs w:val="24"/>
        </w:rPr>
        <w:footnoteReference w:id="16"/>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Otros estudios</w:t>
      </w:r>
      <w:r>
        <w:rPr>
          <w:rFonts w:cs="Times New Roman"/>
          <w:szCs w:val="24"/>
        </w:rPr>
        <w:t>,</w:t>
      </w:r>
      <w:r w:rsidRPr="00E8751B">
        <w:rPr>
          <w:rFonts w:cs="Times New Roman"/>
          <w:szCs w:val="24"/>
        </w:rPr>
        <w:t xml:space="preserve"> desde las ciencias contables, indican que la práctica de la auditoría nació en Gran Bretaña durante la primera mitad del siglo XIX y se extendió a otros países de la cultura empresarial anglosajona, como forma de hacer fiable la información contable e incrementar la transparencia en el mercado de valores ante el desarrollo económico y la expansión de las relaciones económicas, ante la exigencia de sus estados de cuentas ligada a la actividad del comercio, y con ello</w:t>
      </w:r>
      <w:r>
        <w:rPr>
          <w:rFonts w:cs="Times New Roman"/>
          <w:szCs w:val="24"/>
        </w:rPr>
        <w:t>,</w:t>
      </w:r>
      <w:r w:rsidRPr="00E8751B">
        <w:rPr>
          <w:rFonts w:cs="Times New Roman"/>
          <w:szCs w:val="24"/>
        </w:rPr>
        <w:t xml:space="preserve"> se reavivó la confianza y la competencia en estas relaciones entre los empresarios, de lo señalado por </w:t>
      </w:r>
      <w:r w:rsidRPr="00B6223C">
        <w:rPr>
          <w:rFonts w:cs="Times New Roman"/>
          <w:szCs w:val="24"/>
        </w:rPr>
        <w:t>Basurto González</w:t>
      </w:r>
      <w:r w:rsidRPr="00E8751B">
        <w:rPr>
          <w:rFonts w:cs="Times New Roman"/>
          <w:szCs w:val="24"/>
        </w:rPr>
        <w:t>.</w:t>
      </w:r>
      <w:r w:rsidRPr="00E8751B">
        <w:rPr>
          <w:rStyle w:val="Refdenotaalpie"/>
          <w:rFonts w:cs="Times New Roman"/>
          <w:szCs w:val="24"/>
        </w:rPr>
        <w:footnoteReference w:id="17"/>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Para el siglo XX, fueron incluidas normativas jurídicas de la auditoría por voluntad de la administración pública; así se fortaleció el trin</w:t>
      </w:r>
      <w:r>
        <w:rPr>
          <w:rFonts w:cs="Times New Roman"/>
          <w:szCs w:val="24"/>
        </w:rPr>
        <w:t>omio contabilidad, auditoría y d</w:t>
      </w:r>
      <w:r w:rsidRPr="00E8751B">
        <w:rPr>
          <w:rFonts w:cs="Times New Roman"/>
          <w:szCs w:val="24"/>
        </w:rPr>
        <w:t>erecho con regulaciones dirigidas a la protección de los activos contables contra las posibles transgresiones, para ello eran revisados los estados de cuentas de las empresas por los auditores,</w:t>
      </w:r>
      <w:r>
        <w:rPr>
          <w:rFonts w:cs="Times New Roman"/>
          <w:szCs w:val="24"/>
        </w:rPr>
        <w:t xml:space="preserve"> lo cual</w:t>
      </w:r>
      <w:r w:rsidRPr="00E8751B">
        <w:rPr>
          <w:rFonts w:cs="Times New Roman"/>
          <w:szCs w:val="24"/>
        </w:rPr>
        <w:t xml:space="preserve"> permitió dar confiabilidad al uso del presupuesto.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Este autor valora la trascendencia que posee la protección del bien jurídico ambiental, reflejada en la contabilidad directa o indirecta por su influencia en el desarrollo de la investigación y la evolución de la actividad auditora como meta hacia el desarrollo sostenible, al permitir evaluar el eq</w:t>
      </w:r>
      <w:r>
        <w:rPr>
          <w:rFonts w:cs="Times New Roman"/>
          <w:szCs w:val="24"/>
        </w:rPr>
        <w:t>uilibrio entre el progreso y el</w:t>
      </w:r>
      <w:r w:rsidRPr="00E8751B">
        <w:rPr>
          <w:rFonts w:cs="Times New Roman"/>
          <w:szCs w:val="24"/>
        </w:rPr>
        <w:t xml:space="preserve"> ambiente a través del control ambiental realizado por la Entidades Fiscalizadoras S</w:t>
      </w:r>
      <w:r>
        <w:rPr>
          <w:rFonts w:cs="Times New Roman"/>
          <w:szCs w:val="24"/>
        </w:rPr>
        <w:t>uperiores (EFS)</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INTOSAI, a partir de su surgimiento en 1953 como el órgano público encargado de fiscalizar la regularidad de las cuentas y de la gestión financiera pública, está constituida como una organización no gubernamental con un estatus especial en el Consejo Económico y Social de las Naciones Unidas; en todas las regiones geográficas del planeta se aprecia que posee un reconocimiento</w:t>
      </w:r>
      <w:r>
        <w:rPr>
          <w:rFonts w:cs="Times New Roman"/>
          <w:szCs w:val="24"/>
        </w:rPr>
        <w:t xml:space="preserve"> en los ordenamientos jurídicos, por ejemplo;</w:t>
      </w:r>
      <w:r w:rsidRPr="00E8751B">
        <w:rPr>
          <w:rFonts w:cs="Times New Roman"/>
          <w:szCs w:val="24"/>
        </w:rPr>
        <w:t xml:space="preserve"> órganos constituidos como tribunales de cuentas, oficinas de auditoría, procuradurías y contralorías generales</w:t>
      </w:r>
      <w:r>
        <w:rPr>
          <w:rFonts w:cs="Times New Roman"/>
          <w:szCs w:val="24"/>
        </w:rPr>
        <w:t>,</w:t>
      </w:r>
      <w:r w:rsidRPr="00E8751B">
        <w:rPr>
          <w:rFonts w:cs="Times New Roman"/>
          <w:szCs w:val="24"/>
        </w:rPr>
        <w:t xml:space="preserve"> entre las de mayor representatividad, de lo comentado por </w:t>
      </w:r>
      <w:r w:rsidRPr="00DF71AF">
        <w:rPr>
          <w:rFonts w:cs="Times New Roman"/>
          <w:szCs w:val="24"/>
        </w:rPr>
        <w:t>López Hernández</w:t>
      </w:r>
      <w:r w:rsidRPr="00E8751B">
        <w:rPr>
          <w:rStyle w:val="Refdenotaalpie"/>
          <w:rFonts w:cs="Times New Roman"/>
          <w:szCs w:val="24"/>
        </w:rPr>
        <w:footnoteReference w:id="18"/>
      </w:r>
      <w:r w:rsidRPr="00E8751B">
        <w:rPr>
          <w:rFonts w:cs="Times New Roman"/>
          <w:szCs w:val="24"/>
        </w:rPr>
        <w:t xml:space="preserve"> en sus investigaciones.</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contextualSpacing/>
        <w:rPr>
          <w:rFonts w:cs="Times New Roman"/>
          <w:szCs w:val="24"/>
        </w:rPr>
      </w:pPr>
      <w:r>
        <w:rPr>
          <w:rFonts w:cs="Times New Roman"/>
          <w:szCs w:val="24"/>
        </w:rPr>
        <w:t xml:space="preserve">       </w:t>
      </w:r>
      <w:r w:rsidRPr="00E8751B">
        <w:rPr>
          <w:rFonts w:cs="Times New Roman"/>
          <w:szCs w:val="24"/>
        </w:rPr>
        <w:t xml:space="preserve">La situación apuntada lleva a analizar a este autor la conexión de los problemas ambientales y la práctica de la actividad de la auditoría apreciada con los orígenes del </w:t>
      </w:r>
      <w:r w:rsidRPr="00E8751B">
        <w:rPr>
          <w:rFonts w:cs="Times New Roman"/>
          <w:i/>
          <w:szCs w:val="24"/>
        </w:rPr>
        <w:t>ius</w:t>
      </w:r>
      <w:r w:rsidRPr="00E8751B">
        <w:rPr>
          <w:rFonts w:cs="Times New Roman"/>
          <w:szCs w:val="24"/>
        </w:rPr>
        <w:t xml:space="preserve"> ambientalismo como parte de la agenda pública internacional. En </w:t>
      </w:r>
      <w:r>
        <w:rPr>
          <w:rFonts w:cs="Times New Roman"/>
          <w:szCs w:val="24"/>
        </w:rPr>
        <w:t xml:space="preserve">las conferencias ambientalistas, </w:t>
      </w:r>
      <w:r w:rsidRPr="00E8751B">
        <w:rPr>
          <w:rFonts w:cs="Times New Roman"/>
          <w:szCs w:val="24"/>
        </w:rPr>
        <w:t>desde Estocolmo en 1972 hasta las de Río de Janeiro en 2005</w:t>
      </w:r>
      <w:r>
        <w:rPr>
          <w:rFonts w:cs="Times New Roman"/>
          <w:szCs w:val="24"/>
        </w:rPr>
        <w:t>, ha</w:t>
      </w:r>
      <w:r w:rsidRPr="00E8751B">
        <w:rPr>
          <w:rFonts w:cs="Times New Roman"/>
          <w:szCs w:val="24"/>
        </w:rPr>
        <w:t xml:space="preserve"> sido debatido</w:t>
      </w:r>
      <w:r>
        <w:rPr>
          <w:rFonts w:cs="Times New Roman"/>
          <w:szCs w:val="24"/>
        </w:rPr>
        <w:t xml:space="preserve"> en torno a</w:t>
      </w:r>
      <w:r w:rsidRPr="00E8751B">
        <w:rPr>
          <w:rFonts w:cs="Times New Roman"/>
          <w:szCs w:val="24"/>
        </w:rPr>
        <w:t xml:space="preserve"> los problemas ambientales del planeta y las medidas para su mitigación, se han hecho aportes significativos en el desarrollo de la institución jurídica como parte de la familia de las herramientas de gestión, reconocida desde la doctrina contable y su tránsito hacia la doctrina jurídica. Empero no se ha logrado reducir la contaminación ambiental en el planeta</w:t>
      </w:r>
      <w:r>
        <w:rPr>
          <w:rFonts w:cs="Times New Roman"/>
          <w:szCs w:val="24"/>
        </w:rPr>
        <w:t>, el cua</w:t>
      </w:r>
      <w:r w:rsidRPr="00E8751B">
        <w:rPr>
          <w:rFonts w:cs="Times New Roman"/>
          <w:szCs w:val="24"/>
        </w:rPr>
        <w:t>l sufre de graves consecuencias originadas por la contaminación ambiental, h</w:t>
      </w:r>
      <w:r>
        <w:rPr>
          <w:rFonts w:cs="Times New Roman"/>
          <w:szCs w:val="24"/>
        </w:rPr>
        <w:t>echos analizados recientemente,</w:t>
      </w:r>
      <w:r w:rsidRPr="00E8751B">
        <w:rPr>
          <w:rFonts w:cs="Times New Roman"/>
          <w:szCs w:val="24"/>
        </w:rPr>
        <w:t xml:space="preserve"> en Francia </w:t>
      </w:r>
      <w:r>
        <w:rPr>
          <w:rFonts w:cs="Times New Roman"/>
          <w:szCs w:val="24"/>
        </w:rPr>
        <w:t>(</w:t>
      </w:r>
      <w:r w:rsidRPr="00E8751B">
        <w:rPr>
          <w:rFonts w:cs="Times New Roman"/>
          <w:szCs w:val="24"/>
        </w:rPr>
        <w:t>2015</w:t>
      </w:r>
      <w:r>
        <w:rPr>
          <w:rFonts w:cs="Times New Roman"/>
          <w:szCs w:val="24"/>
        </w:rPr>
        <w:t>)</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La </w:t>
      </w:r>
      <w:r>
        <w:rPr>
          <w:rFonts w:cs="Times New Roman"/>
          <w:szCs w:val="24"/>
        </w:rPr>
        <w:t xml:space="preserve">literatura científica examinada, </w:t>
      </w:r>
      <w:r w:rsidRPr="00E8751B">
        <w:rPr>
          <w:rFonts w:cs="Times New Roman"/>
          <w:szCs w:val="24"/>
        </w:rPr>
        <w:t xml:space="preserve">de autores como </w:t>
      </w:r>
      <w:r>
        <w:rPr>
          <w:rFonts w:cs="Times New Roman"/>
          <w:szCs w:val="24"/>
        </w:rPr>
        <w:t>Martí</w:t>
      </w:r>
      <w:r w:rsidRPr="00BF3FC2">
        <w:rPr>
          <w:rFonts w:cs="Times New Roman"/>
          <w:szCs w:val="24"/>
        </w:rPr>
        <w:t>n Mateo y Caferrata</w:t>
      </w:r>
      <w:r w:rsidRPr="00E8751B">
        <w:rPr>
          <w:rFonts w:cs="Times New Roman"/>
          <w:smallCaps/>
          <w:szCs w:val="24"/>
        </w:rPr>
        <w:t>,</w:t>
      </w:r>
      <w:r w:rsidRPr="00E8751B">
        <w:rPr>
          <w:rFonts w:cs="Times New Roman"/>
          <w:szCs w:val="24"/>
        </w:rPr>
        <w:t xml:space="preserve"> revelan que la auditoría ambiental s</w:t>
      </w:r>
      <w:r>
        <w:rPr>
          <w:rFonts w:cs="Times New Roman"/>
          <w:szCs w:val="24"/>
        </w:rPr>
        <w:t>e originó en la década de los setenta</w:t>
      </w:r>
      <w:r w:rsidRPr="00E8751B">
        <w:rPr>
          <w:rFonts w:cs="Times New Roman"/>
          <w:szCs w:val="24"/>
        </w:rPr>
        <w:t xml:space="preserve"> del pasado siglo</w:t>
      </w:r>
      <w:r>
        <w:rPr>
          <w:rFonts w:cs="Times New Roman"/>
          <w:szCs w:val="24"/>
        </w:rPr>
        <w:t>,</w:t>
      </w:r>
      <w:r w:rsidRPr="00E8751B">
        <w:rPr>
          <w:rFonts w:cs="Times New Roman"/>
          <w:szCs w:val="24"/>
        </w:rPr>
        <w:t xml:space="preserve"> en los Estados Unidos de América</w:t>
      </w:r>
      <w:r>
        <w:rPr>
          <w:rFonts w:cs="Times New Roman"/>
          <w:szCs w:val="24"/>
        </w:rPr>
        <w:t>, como</w:t>
      </w:r>
      <w:r w:rsidRPr="00E8751B">
        <w:rPr>
          <w:rFonts w:cs="Times New Roman"/>
          <w:szCs w:val="24"/>
        </w:rPr>
        <w:t xml:space="preserve"> </w:t>
      </w:r>
      <w:r w:rsidRPr="00E8751B">
        <w:rPr>
          <w:rFonts w:cs="Times New Roman"/>
          <w:szCs w:val="24"/>
        </w:rPr>
        <w:lastRenderedPageBreak/>
        <w:t>consecuencia de los problemas de contaminación originados en la industria, afectando a sus t</w:t>
      </w:r>
      <w:r>
        <w:rPr>
          <w:rFonts w:cs="Times New Roman"/>
          <w:szCs w:val="24"/>
        </w:rPr>
        <w:t>rabajadores y al entorno donde é</w:t>
      </w:r>
      <w:r w:rsidRPr="00E8751B">
        <w:rPr>
          <w:rFonts w:cs="Times New Roman"/>
          <w:szCs w:val="24"/>
        </w:rPr>
        <w:t xml:space="preserve">stas estaban ubicadas. Se creó con la finalidad de servir como una herramienta de dirección para la gestión ambiental, ante el aumento y la complejidad de la normativa jurídica estadual y federal, al decir de </w:t>
      </w:r>
      <w:r w:rsidRPr="00BF3FC2">
        <w:rPr>
          <w:rFonts w:cs="Times New Roman"/>
          <w:szCs w:val="24"/>
        </w:rPr>
        <w:t>Leef</w:t>
      </w:r>
      <w:r w:rsidRPr="00E8751B">
        <w:rPr>
          <w:rFonts w:cs="Times New Roman"/>
          <w:smallCaps/>
          <w:szCs w:val="24"/>
        </w:rPr>
        <w:t>.</w:t>
      </w:r>
      <w:r w:rsidRPr="00E8751B">
        <w:rPr>
          <w:rStyle w:val="Refdenotaalpie"/>
          <w:rFonts w:cs="Times New Roman"/>
          <w:smallCaps/>
          <w:szCs w:val="24"/>
        </w:rPr>
        <w:footnoteReference w:id="19"/>
      </w:r>
    </w:p>
    <w:p w:rsidR="002204E0" w:rsidRPr="00E8751B" w:rsidRDefault="002204E0" w:rsidP="002204E0">
      <w:pPr>
        <w:spacing w:line="360" w:lineRule="auto"/>
        <w:ind w:left="-142" w:right="-144" w:firstLine="850"/>
        <w:contextualSpacing/>
        <w:rPr>
          <w:rFonts w:cs="Times New Roman"/>
          <w:szCs w:val="24"/>
        </w:rPr>
      </w:pPr>
    </w:p>
    <w:p w:rsidR="002204E0" w:rsidRPr="00BF3FC2" w:rsidRDefault="002204E0" w:rsidP="002204E0">
      <w:pPr>
        <w:spacing w:line="360" w:lineRule="auto"/>
        <w:ind w:left="-142" w:right="-144" w:firstLine="850"/>
        <w:contextualSpacing/>
        <w:rPr>
          <w:rFonts w:cs="Times New Roman"/>
          <w:szCs w:val="24"/>
        </w:rPr>
      </w:pPr>
      <w:r w:rsidRPr="00E8751B">
        <w:rPr>
          <w:rFonts w:cs="Times New Roman"/>
          <w:szCs w:val="24"/>
        </w:rPr>
        <w:t>E</w:t>
      </w:r>
      <w:r>
        <w:rPr>
          <w:rFonts w:cs="Times New Roman"/>
          <w:szCs w:val="24"/>
        </w:rPr>
        <w:t>n la década de los ochenta</w:t>
      </w:r>
      <w:r w:rsidRPr="00E8751B">
        <w:rPr>
          <w:rFonts w:cs="Times New Roman"/>
          <w:szCs w:val="24"/>
        </w:rPr>
        <w:t xml:space="preserve"> se extendió a la Unión Europea como consecuencia de los intereses de las subsidiarias estadounidenses radicadas en dicho continente. En los países bajos se señala al año 1984 y a Holanda como el primero en incorporarse a la práctica de este tipo de </w:t>
      </w:r>
      <w:r>
        <w:rPr>
          <w:rFonts w:cs="Times New Roman"/>
          <w:szCs w:val="24"/>
        </w:rPr>
        <w:t>control. Sus exigencias legales</w:t>
      </w:r>
      <w:r w:rsidRPr="00E8751B">
        <w:rPr>
          <w:rFonts w:cs="Times New Roman"/>
          <w:szCs w:val="24"/>
        </w:rPr>
        <w:t xml:space="preserve"> han estado marcadas en su regulación normativa dentro de sus derechos internos, como lo apreciara </w:t>
      </w:r>
      <w:r w:rsidRPr="00BF3FC2">
        <w:rPr>
          <w:rFonts w:cs="Times New Roman"/>
          <w:szCs w:val="24"/>
        </w:rPr>
        <w:t>Murad Robles</w:t>
      </w:r>
      <w:r w:rsidRPr="00E8751B">
        <w:rPr>
          <w:rStyle w:val="Refdenotaalpie"/>
          <w:rFonts w:cs="Times New Roman"/>
          <w:szCs w:val="24"/>
        </w:rPr>
        <w:footnoteReference w:id="20"/>
      </w:r>
      <w:r w:rsidRPr="00E8751B">
        <w:rPr>
          <w:rFonts w:cs="Times New Roman"/>
          <w:szCs w:val="24"/>
        </w:rPr>
        <w:t xml:space="preserve">, del resultado del compromiso respaldado por la comisión </w:t>
      </w:r>
      <w:r w:rsidRPr="00BF3FC2">
        <w:rPr>
          <w:rFonts w:cs="Times New Roman"/>
          <w:szCs w:val="24"/>
        </w:rPr>
        <w:t>Brundtland</w:t>
      </w:r>
      <w:r>
        <w:rPr>
          <w:rFonts w:cs="Times New Roman"/>
          <w:szCs w:val="24"/>
        </w:rPr>
        <w:t>,</w:t>
      </w:r>
      <w:r w:rsidRPr="00E8751B">
        <w:rPr>
          <w:rFonts w:cs="Times New Roman"/>
          <w:szCs w:val="24"/>
        </w:rPr>
        <w:t xml:space="preserve"> en 1987, donde fue formulada la propuesta de… </w:t>
      </w:r>
      <w:r w:rsidRPr="00BF3FC2">
        <w:rPr>
          <w:rFonts w:cs="Times New Roman"/>
          <w:szCs w:val="24"/>
        </w:rPr>
        <w:t>“un desarrollo sustentable que satisfacer las necesidades de las generaciones presentes sin comprometer las posibilidades de las futuras generaciones para satisfacer las suyas…</w:t>
      </w:r>
      <w:r>
        <w:rPr>
          <w:rFonts w:cs="Times New Roman"/>
          <w:szCs w:val="24"/>
        </w:rPr>
        <w:t>”.</w:t>
      </w:r>
      <w:r w:rsidRPr="00BF3FC2">
        <w:rPr>
          <w:rFonts w:cs="Times New Roman"/>
          <w:szCs w:val="24"/>
        </w:rPr>
        <w:t xml:space="preserve">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Pr>
          <w:rFonts w:cs="Times New Roman"/>
          <w:szCs w:val="24"/>
        </w:rPr>
        <w:t>L</w:t>
      </w:r>
      <w:r w:rsidRPr="00E8751B">
        <w:rPr>
          <w:rFonts w:cs="Times New Roman"/>
          <w:szCs w:val="24"/>
        </w:rPr>
        <w:t xml:space="preserve">as afirmaciones anteriores, </w:t>
      </w:r>
      <w:r>
        <w:rPr>
          <w:rFonts w:cs="Times New Roman"/>
          <w:szCs w:val="24"/>
        </w:rPr>
        <w:t xml:space="preserve">me </w:t>
      </w:r>
      <w:r w:rsidRPr="00E8751B">
        <w:rPr>
          <w:rFonts w:cs="Times New Roman"/>
          <w:szCs w:val="24"/>
        </w:rPr>
        <w:t xml:space="preserve">permiten ponderar que las EFS en el año 1995 desde el siglo pasado la reconocen como una herramienta de gestión ambiental, aunque en otros estudios contables se considere que su génesis está vinculada a la contabilidad y a la auditoría social, relacionada con la implementación de la Responsabilidad Social Empresarial (RSE) en las formas de gestión en su dimensión ambiental.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la apar</w:t>
      </w:r>
      <w:r>
        <w:rPr>
          <w:rFonts w:cs="Times New Roman"/>
          <w:szCs w:val="24"/>
        </w:rPr>
        <w:t>ición de la auditoría ambiental</w:t>
      </w:r>
      <w:r w:rsidRPr="00E8751B">
        <w:rPr>
          <w:rFonts w:cs="Times New Roman"/>
          <w:szCs w:val="24"/>
        </w:rPr>
        <w:t xml:space="preserve"> como herramienta de gestión </w:t>
      </w:r>
      <w:r>
        <w:rPr>
          <w:rFonts w:cs="Times New Roman"/>
          <w:szCs w:val="24"/>
        </w:rPr>
        <w:t>ejecutada</w:t>
      </w:r>
      <w:r w:rsidRPr="00E8751B">
        <w:rPr>
          <w:rFonts w:cs="Times New Roman"/>
          <w:szCs w:val="24"/>
        </w:rPr>
        <w:t xml:space="preserve"> por las EFS para evaluar a las formas de gestión, se valora el vínculo que pose con los principios y normativas jurídicas que desde el derecho ambiental la informan, está regulada por los Estados en normas jurídicas especiales para su uniformidad en materias</w:t>
      </w:r>
      <w:r>
        <w:rPr>
          <w:rFonts w:cs="Times New Roman"/>
          <w:szCs w:val="24"/>
        </w:rPr>
        <w:t>,</w:t>
      </w:r>
      <w:r w:rsidRPr="00E8751B">
        <w:rPr>
          <w:rFonts w:cs="Times New Roman"/>
          <w:szCs w:val="24"/>
        </w:rPr>
        <w:t xml:space="preserve"> como la de la exigencia de la Responsabilidad Ambiental Objetiva, la cuantificación de los daños ambientales y la RSE</w:t>
      </w:r>
      <w:r>
        <w:rPr>
          <w:rFonts w:cs="Times New Roman"/>
          <w:szCs w:val="24"/>
        </w:rPr>
        <w:t xml:space="preserve"> —ambiental—; elementos</w:t>
      </w:r>
      <w:r w:rsidRPr="00E8751B">
        <w:rPr>
          <w:rFonts w:cs="Times New Roman"/>
          <w:szCs w:val="24"/>
        </w:rPr>
        <w:t xml:space="preserve"> que a consideración de este autor le han permitido evolucionar al transcurrir el tiempo, en relación con el país que la aplique y al desarro</w:t>
      </w:r>
      <w:r>
        <w:rPr>
          <w:rFonts w:cs="Times New Roman"/>
          <w:szCs w:val="24"/>
        </w:rPr>
        <w:t>llo tecnológico industrial que é</w:t>
      </w:r>
      <w:r w:rsidRPr="00E8751B">
        <w:rPr>
          <w:rFonts w:cs="Times New Roman"/>
          <w:szCs w:val="24"/>
        </w:rPr>
        <w:t xml:space="preserve">ste posea por su relevancia desde el plano político, social y económico.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Se valora por este autor </w:t>
      </w:r>
      <w:r>
        <w:rPr>
          <w:rFonts w:cs="Times New Roman"/>
          <w:szCs w:val="24"/>
        </w:rPr>
        <w:t>que</w:t>
      </w:r>
      <w:r w:rsidRPr="00E8751B">
        <w:rPr>
          <w:rFonts w:cs="Times New Roman"/>
          <w:szCs w:val="24"/>
        </w:rPr>
        <w:t xml:space="preserve"> la adición de los nuevos elementos tecnológicos incorporados</w:t>
      </w:r>
      <w:r>
        <w:rPr>
          <w:rFonts w:cs="Times New Roman"/>
          <w:szCs w:val="24"/>
        </w:rPr>
        <w:t xml:space="preserve">, </w:t>
      </w:r>
      <w:r w:rsidRPr="00E8751B">
        <w:rPr>
          <w:rFonts w:cs="Times New Roman"/>
          <w:szCs w:val="24"/>
        </w:rPr>
        <w:t xml:space="preserve">vinculados a la actividad del comercio mundial, hacen a la auditoría ambiental más compleja, completa y </w:t>
      </w:r>
      <w:r w:rsidRPr="00E8751B">
        <w:rPr>
          <w:rFonts w:cs="Times New Roman"/>
          <w:szCs w:val="24"/>
        </w:rPr>
        <w:lastRenderedPageBreak/>
        <w:t>dinámica por parte de los sujetos que la implementan. Por ello, las técnicas, métodos y objetivos de la auditoría como act</w:t>
      </w:r>
      <w:r>
        <w:rPr>
          <w:rFonts w:cs="Times New Roman"/>
          <w:szCs w:val="24"/>
        </w:rPr>
        <w:t>ividad de control han ido en asc</w:t>
      </w:r>
      <w:r w:rsidRPr="00E8751B">
        <w:rPr>
          <w:rFonts w:cs="Times New Roman"/>
          <w:szCs w:val="24"/>
        </w:rPr>
        <w:t>enso</w:t>
      </w:r>
      <w:r>
        <w:rPr>
          <w:rFonts w:cs="Times New Roman"/>
          <w:szCs w:val="24"/>
        </w:rPr>
        <w:t>,</w:t>
      </w:r>
      <w:r w:rsidRPr="00E8751B">
        <w:rPr>
          <w:rFonts w:cs="Times New Roman"/>
          <w:szCs w:val="24"/>
        </w:rPr>
        <w:t xml:space="preserve"> par</w:t>
      </w:r>
      <w:r>
        <w:rPr>
          <w:rFonts w:cs="Times New Roman"/>
          <w:szCs w:val="24"/>
        </w:rPr>
        <w:t>a poder atender y dar respuesta</w:t>
      </w:r>
      <w:r w:rsidRPr="00E8751B">
        <w:rPr>
          <w:rFonts w:cs="Times New Roman"/>
          <w:szCs w:val="24"/>
        </w:rPr>
        <w:t xml:space="preserve"> a las nuevas exigencias del mercado de bienes y servicios, donde aparece la empresa responsable con el ambiente como la solución viable para lograr el equilibrio entre el progreso y la protección ambiental con la ISO 26 000. </w:t>
      </w:r>
    </w:p>
    <w:p w:rsidR="002204E0" w:rsidRPr="00E8751B" w:rsidRDefault="002204E0" w:rsidP="002204E0">
      <w:pPr>
        <w:spacing w:line="360" w:lineRule="auto"/>
        <w:ind w:left="-142" w:right="-144" w:firstLine="850"/>
        <w:contextualSpacing/>
        <w:rPr>
          <w:rFonts w:cs="Times New Roman"/>
          <w:szCs w:val="24"/>
        </w:rPr>
      </w:pPr>
    </w:p>
    <w:p w:rsidR="002204E0" w:rsidRDefault="002204E0" w:rsidP="002204E0">
      <w:pPr>
        <w:spacing w:line="360" w:lineRule="auto"/>
        <w:ind w:left="-142" w:right="-144"/>
        <w:contextualSpacing/>
        <w:rPr>
          <w:rFonts w:cs="Times New Roman"/>
          <w:szCs w:val="24"/>
        </w:rPr>
      </w:pPr>
      <w:r>
        <w:rPr>
          <w:rFonts w:cs="Times New Roman"/>
          <w:smallCaps/>
          <w:szCs w:val="24"/>
        </w:rPr>
        <w:t xml:space="preserve">       </w:t>
      </w:r>
      <w:r w:rsidRPr="00E8751B">
        <w:rPr>
          <w:rFonts w:cs="Times New Roman"/>
          <w:smallCaps/>
          <w:szCs w:val="24"/>
        </w:rPr>
        <w:t xml:space="preserve"> </w:t>
      </w:r>
      <w:r w:rsidRPr="002346A7">
        <w:rPr>
          <w:rFonts w:cs="Times New Roman"/>
          <w:szCs w:val="24"/>
        </w:rPr>
        <w:t>Vázquez García</w:t>
      </w:r>
      <w:r>
        <w:rPr>
          <w:rFonts w:cs="Times New Roman"/>
          <w:szCs w:val="24"/>
        </w:rPr>
        <w:t>,</w:t>
      </w:r>
      <w:r w:rsidRPr="00E8751B">
        <w:rPr>
          <w:rStyle w:val="Refdenotaalpie"/>
          <w:rFonts w:cs="Times New Roman"/>
          <w:smallCaps/>
          <w:szCs w:val="24"/>
        </w:rPr>
        <w:footnoteReference w:id="21"/>
      </w:r>
      <w:r w:rsidRPr="00E8751B">
        <w:rPr>
          <w:rFonts w:cs="Times New Roman"/>
          <w:szCs w:val="24"/>
        </w:rPr>
        <w:t xml:space="preserve"> desde la Liga </w:t>
      </w:r>
      <w:r>
        <w:rPr>
          <w:rFonts w:cs="Times New Roman"/>
          <w:szCs w:val="24"/>
        </w:rPr>
        <w:t xml:space="preserve">Mundial </w:t>
      </w:r>
      <w:r w:rsidRPr="00E8751B">
        <w:rPr>
          <w:rFonts w:cs="Times New Roman"/>
          <w:szCs w:val="24"/>
        </w:rPr>
        <w:t>de Abogados Ambientalista</w:t>
      </w:r>
      <w:r>
        <w:rPr>
          <w:rFonts w:cs="Times New Roman"/>
          <w:szCs w:val="24"/>
        </w:rPr>
        <w:t>s,</w:t>
      </w:r>
      <w:r w:rsidRPr="00E8751B">
        <w:rPr>
          <w:rFonts w:cs="Times New Roman"/>
          <w:szCs w:val="24"/>
        </w:rPr>
        <w:t xml:space="preserve"> </w:t>
      </w:r>
      <w:r>
        <w:rPr>
          <w:rFonts w:cs="Times New Roman"/>
          <w:szCs w:val="24"/>
        </w:rPr>
        <w:t xml:space="preserve">considera que </w:t>
      </w:r>
      <w:r w:rsidRPr="00E8751B">
        <w:rPr>
          <w:rFonts w:cs="Times New Roman"/>
          <w:szCs w:val="24"/>
        </w:rPr>
        <w:t xml:space="preserve">la </w:t>
      </w:r>
      <w:r>
        <w:rPr>
          <w:rFonts w:cs="Times New Roman"/>
          <w:szCs w:val="24"/>
        </w:rPr>
        <w:t xml:space="preserve">implementación de la </w:t>
      </w:r>
      <w:r w:rsidRPr="00E8751B">
        <w:rPr>
          <w:rFonts w:cs="Times New Roman"/>
          <w:szCs w:val="24"/>
        </w:rPr>
        <w:t>auditoría ambiental permite a las formas de gestión alcanzar los beneficios en competitividad y productividad, operando de manera socialmente responsable. Durante los últimos tiempos se han presentado profundos cambios en el entorno competitivo por la globalización y las empresas deben hacer frente a requisit</w:t>
      </w:r>
      <w:r>
        <w:rPr>
          <w:rFonts w:cs="Times New Roman"/>
          <w:szCs w:val="24"/>
        </w:rPr>
        <w:t>os económicos, sociales y ambientales, además de</w:t>
      </w:r>
      <w:r w:rsidRPr="00E8751B">
        <w:rPr>
          <w:rFonts w:cs="Times New Roman"/>
          <w:szCs w:val="24"/>
        </w:rPr>
        <w:t xml:space="preserve"> orientar sus actuaciones hacia la satisfacción de todas las pa</w:t>
      </w:r>
      <w:r>
        <w:rPr>
          <w:rFonts w:cs="Times New Roman"/>
          <w:szCs w:val="24"/>
        </w:rPr>
        <w:t>rtes interesadas de la empresa,</w:t>
      </w:r>
      <w:r w:rsidRPr="00E8751B">
        <w:rPr>
          <w:rFonts w:cs="Times New Roman"/>
          <w:szCs w:val="24"/>
        </w:rPr>
        <w:t xml:space="preserve"> esto ha obligado a buscar nuevas estrategias que les permitan diferenciarse de sus competidores y ganar la confianza de los consumidores. </w:t>
      </w:r>
    </w:p>
    <w:p w:rsidR="002204E0"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Pr>
          <w:rFonts w:cs="Times New Roman"/>
          <w:szCs w:val="24"/>
        </w:rPr>
        <w:t>Para e</w:t>
      </w:r>
      <w:r w:rsidRPr="00E8751B">
        <w:rPr>
          <w:rFonts w:cs="Times New Roman"/>
          <w:szCs w:val="24"/>
        </w:rPr>
        <w:t>l entorno competitivo actual, la RSE se ha convertido en una estrategia esencial, desde un punto</w:t>
      </w:r>
      <w:r>
        <w:rPr>
          <w:rFonts w:cs="Times New Roman"/>
          <w:szCs w:val="24"/>
        </w:rPr>
        <w:t xml:space="preserve"> de vista ético y sostenible. Si</w:t>
      </w:r>
      <w:r w:rsidRPr="00E8751B">
        <w:rPr>
          <w:rFonts w:cs="Times New Roman"/>
          <w:szCs w:val="24"/>
        </w:rPr>
        <w:t xml:space="preserve"> las prácticas de RSE son las adecuadas, mejorarán la posición competitiva y aumentarán la fidelidad de clientes y trabajadores que valoran positivamente estas buenas prácticas ambientales con las áreas de calidad ambiental, normas laborales y derechos humanos, y prácticas competitivas, se canalizan a través de la aplicación de SGA, de seguridad y salud laboral, y de calidad de productos y servicios. La RSE implica adoptar un enfoque integrado en la gestión de las actividades e impactos de una organización en unión de la responsabilidad ambiental. Una organización debería tratar y hacer un seguimiento de los impactos de sus decisiones y actividades en la sociedad y el ambiente, </w:t>
      </w:r>
      <w:r>
        <w:rPr>
          <w:rFonts w:cs="Times New Roman"/>
          <w:szCs w:val="24"/>
        </w:rPr>
        <w:t>de</w:t>
      </w:r>
      <w:r w:rsidRPr="00E8751B">
        <w:rPr>
          <w:rFonts w:cs="Times New Roman"/>
          <w:szCs w:val="24"/>
        </w:rPr>
        <w:t xml:space="preserve"> manera que tuviera en cuenta, tanto el tamaño de la organización, como sus impactos.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empresa</w:t>
      </w:r>
      <w:r>
        <w:rPr>
          <w:rFonts w:cs="Times New Roman"/>
          <w:szCs w:val="24"/>
        </w:rPr>
        <w:t>,</w:t>
      </w:r>
      <w:r w:rsidRPr="00E8751B">
        <w:rPr>
          <w:rFonts w:cs="Times New Roman"/>
          <w:szCs w:val="24"/>
        </w:rPr>
        <w:t xml:space="preserve"> así catalogada luego de la resultante del control ambiental</w:t>
      </w:r>
      <w:r>
        <w:rPr>
          <w:rFonts w:cs="Times New Roman"/>
          <w:szCs w:val="24"/>
        </w:rPr>
        <w:t>,</w:t>
      </w:r>
      <w:r w:rsidRPr="00E8751B">
        <w:rPr>
          <w:rFonts w:cs="Times New Roman"/>
          <w:szCs w:val="24"/>
        </w:rPr>
        <w:t xml:space="preserve"> adquiere valor agregado intrínseco dentro de la ética empresarial, le </w:t>
      </w:r>
      <w:r>
        <w:rPr>
          <w:rFonts w:cs="Times New Roman"/>
          <w:szCs w:val="24"/>
        </w:rPr>
        <w:t xml:space="preserve">que </w:t>
      </w:r>
      <w:r w:rsidRPr="00E8751B">
        <w:rPr>
          <w:rFonts w:cs="Times New Roman"/>
          <w:szCs w:val="24"/>
        </w:rPr>
        <w:t>permitirá incorporar</w:t>
      </w:r>
      <w:r>
        <w:rPr>
          <w:rFonts w:cs="Times New Roman"/>
          <w:szCs w:val="24"/>
        </w:rPr>
        <w:t xml:space="preserve"> los principios de la RSE por parte de </w:t>
      </w:r>
      <w:r w:rsidRPr="00E8751B">
        <w:rPr>
          <w:rFonts w:cs="Times New Roman"/>
          <w:szCs w:val="24"/>
        </w:rPr>
        <w:t xml:space="preserve">los empresarios como una exigencia estratégica para lograr el adecuado cumplimiento del binomio cultura y </w:t>
      </w:r>
      <w:r w:rsidRPr="00E8751B">
        <w:rPr>
          <w:rFonts w:cs="Times New Roman"/>
          <w:szCs w:val="24"/>
        </w:rPr>
        <w:lastRenderedPageBreak/>
        <w:t xml:space="preserve">responsabilidad social, posiciones estas asumidas por </w:t>
      </w:r>
      <w:r w:rsidRPr="00607407">
        <w:rPr>
          <w:rFonts w:cs="Times New Roman"/>
          <w:szCs w:val="24"/>
        </w:rPr>
        <w:t>Fernández de Gatta Sánchez</w:t>
      </w:r>
      <w:r w:rsidRPr="00607407">
        <w:rPr>
          <w:rStyle w:val="Refdenotaalpie"/>
          <w:rFonts w:cs="Times New Roman"/>
          <w:smallCaps/>
          <w:szCs w:val="24"/>
        </w:rPr>
        <w:footnoteReference w:id="22"/>
      </w:r>
      <w:r w:rsidRPr="00607407">
        <w:rPr>
          <w:rFonts w:cs="Times New Roman"/>
          <w:szCs w:val="24"/>
        </w:rPr>
        <w:t>, Muñoz-Martin</w:t>
      </w:r>
      <w:r w:rsidRPr="00607407">
        <w:rPr>
          <w:rStyle w:val="Refdenotaalpie"/>
          <w:rFonts w:cs="Times New Roman"/>
          <w:smallCaps/>
          <w:szCs w:val="24"/>
        </w:rPr>
        <w:footnoteReference w:id="23"/>
      </w:r>
      <w:r w:rsidRPr="00607407">
        <w:rPr>
          <w:rFonts w:cs="Times New Roman"/>
          <w:szCs w:val="24"/>
        </w:rPr>
        <w:t xml:space="preserve"> y Vega Centeno</w:t>
      </w:r>
      <w:r>
        <w:rPr>
          <w:rFonts w:cs="Times New Roman"/>
          <w:szCs w:val="24"/>
        </w:rPr>
        <w:t>.</w:t>
      </w:r>
      <w:r w:rsidRPr="00E8751B">
        <w:rPr>
          <w:rStyle w:val="Refdenotaalpie"/>
          <w:rFonts w:cs="Times New Roman"/>
          <w:smallCaps/>
          <w:szCs w:val="24"/>
        </w:rPr>
        <w:footnoteReference w:id="24"/>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práctica de esta auditoría es reconocida como una actividad de control y</w:t>
      </w:r>
      <w:r>
        <w:rPr>
          <w:rFonts w:cs="Times New Roman"/>
          <w:szCs w:val="24"/>
        </w:rPr>
        <w:t>,</w:t>
      </w:r>
      <w:r w:rsidRPr="00E8751B">
        <w:rPr>
          <w:rFonts w:cs="Times New Roman"/>
          <w:szCs w:val="24"/>
        </w:rPr>
        <w:t xml:space="preserve"> a la vez</w:t>
      </w:r>
      <w:r>
        <w:rPr>
          <w:rFonts w:cs="Times New Roman"/>
          <w:szCs w:val="24"/>
        </w:rPr>
        <w:t>,</w:t>
      </w:r>
      <w:r w:rsidRPr="00E8751B">
        <w:rPr>
          <w:rFonts w:cs="Times New Roman"/>
          <w:szCs w:val="24"/>
        </w:rPr>
        <w:t xml:space="preserve"> como una herramienta técnica de gestión, </w:t>
      </w:r>
      <w:r>
        <w:rPr>
          <w:rFonts w:cs="Times New Roman"/>
          <w:szCs w:val="24"/>
        </w:rPr>
        <w:t xml:space="preserve">ésta, </w:t>
      </w:r>
      <w:r w:rsidRPr="00E8751B">
        <w:rPr>
          <w:rFonts w:cs="Times New Roman"/>
          <w:szCs w:val="24"/>
        </w:rPr>
        <w:t>de por sí</w:t>
      </w:r>
      <w:r>
        <w:rPr>
          <w:rFonts w:cs="Times New Roman"/>
          <w:szCs w:val="24"/>
        </w:rPr>
        <w:t>,</w:t>
      </w:r>
      <w:r w:rsidRPr="00E8751B">
        <w:rPr>
          <w:rFonts w:cs="Times New Roman"/>
          <w:szCs w:val="24"/>
        </w:rPr>
        <w:t xml:space="preserve"> es de amplia aplicación por parte de las EFS que la ejecuta en el planeta. Toda la evolución de la auditoría, materializada en correspondencia a las áreas geográficas donde se aplica, está relacionada con el nivel de desarrollo tecnológico de cada empresa e industria posea; este autor considera el vínculo que aparece desde las ciencias sociales y las ciencias técnicas están concebidos por </w:t>
      </w:r>
      <w:r>
        <w:rPr>
          <w:rFonts w:cs="Times New Roman"/>
          <w:szCs w:val="24"/>
        </w:rPr>
        <w:t>el sentido</w:t>
      </w:r>
      <w:r w:rsidRPr="00E8751B">
        <w:rPr>
          <w:rFonts w:cs="Times New Roman"/>
          <w:szCs w:val="24"/>
        </w:rPr>
        <w:t xml:space="preserve"> transversal e interdisciplinar que posee este tipo de control ambiental, de ahí que se considere también su multidimensionalidad. Desde el plano de las ciencias jurídicas y</w:t>
      </w:r>
      <w:r>
        <w:rPr>
          <w:rFonts w:cs="Times New Roman"/>
          <w:szCs w:val="24"/>
        </w:rPr>
        <w:t>,</w:t>
      </w:r>
      <w:r w:rsidRPr="00E8751B">
        <w:rPr>
          <w:rFonts w:cs="Times New Roman"/>
          <w:szCs w:val="24"/>
        </w:rPr>
        <w:t xml:space="preserve"> en especial</w:t>
      </w:r>
      <w:r>
        <w:rPr>
          <w:rFonts w:cs="Times New Roman"/>
          <w:szCs w:val="24"/>
        </w:rPr>
        <w:t>,</w:t>
      </w:r>
      <w:r w:rsidRPr="00E8751B">
        <w:rPr>
          <w:rFonts w:cs="Times New Roman"/>
          <w:szCs w:val="24"/>
        </w:rPr>
        <w:t xml:space="preserve"> desde el derecho administrativo este autor pondera que en su práctica aparecen instituciones como la autorización (licencia ambiental), la concesión administrativa, los títulos habilitantes, el servicio público y el fomento.</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Estas auditorías han sido promovidas por diferentes agentes que van desde los gobiernos hasta las organizaciones internacionales y que de manera directa o indirecta han accionado a partir de la publicación de las normas voluntarias ISO 14 000, 19 011 y las EMAS como complemento en su ejecución por el equipo auditor como su sujeto activo, a tenor de la lectura de </w:t>
      </w:r>
      <w:r w:rsidRPr="00C9111A">
        <w:rPr>
          <w:rFonts w:cs="Times New Roman"/>
          <w:szCs w:val="24"/>
        </w:rPr>
        <w:t>Fernández de Gatta Sánchez</w:t>
      </w:r>
      <w:r w:rsidRPr="00E8751B">
        <w:rPr>
          <w:rFonts w:cs="Times New Roman"/>
          <w:szCs w:val="24"/>
        </w:rPr>
        <w:t>.</w:t>
      </w:r>
      <w:r w:rsidRPr="00E8751B">
        <w:rPr>
          <w:rStyle w:val="Refdenotaalpie"/>
          <w:rFonts w:cs="Times New Roman"/>
          <w:szCs w:val="24"/>
        </w:rPr>
        <w:footnoteReference w:id="25"/>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La expresión moderna de la auditoría ambiental aparejada a su </w:t>
      </w:r>
      <w:r w:rsidRPr="00E8751B">
        <w:rPr>
          <w:rFonts w:cs="Times New Roman"/>
          <w:i/>
          <w:szCs w:val="24"/>
        </w:rPr>
        <w:t>íter</w:t>
      </w:r>
      <w:r w:rsidRPr="00E8751B">
        <w:rPr>
          <w:rFonts w:cs="Times New Roman"/>
          <w:szCs w:val="24"/>
        </w:rPr>
        <w:t xml:space="preserve"> histórico y evolución analizada, se valora como se le considera como la herramienta evaluadora del SGA por ser este el mecanismo clave para obtener la información sobre la efectividad de la gestión de los directivos de las empresas en las formas de gestión, esta identifica los problemas asociados al trabajo en materia de seguridad y ambiente laboral para poder determinar los nuevos desafíos ambientales por venir, propone medidas de prevención y mitigación complementadas con la revisión contable ambiental del presupuesto empresarial. Elementos con los que se </w:t>
      </w:r>
      <w:r w:rsidRPr="00E8751B">
        <w:rPr>
          <w:rFonts w:cs="Times New Roman"/>
          <w:szCs w:val="24"/>
        </w:rPr>
        <w:lastRenderedPageBreak/>
        <w:t xml:space="preserve">coincide al estar presente el principio de prevención pertinente desde el derecho ambiental y que en la actividad de la auditoría es uno de los elementos clave a evaluarse por el equipo auditor conformado por técnicos, juristas y científicos.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problemática ambiental del primer decenio de</w:t>
      </w:r>
      <w:r>
        <w:rPr>
          <w:rFonts w:cs="Times New Roman"/>
          <w:szCs w:val="24"/>
        </w:rPr>
        <w:t>l siglo XXI</w:t>
      </w:r>
      <w:r w:rsidRPr="00E8751B">
        <w:rPr>
          <w:rFonts w:cs="Times New Roman"/>
          <w:szCs w:val="24"/>
        </w:rPr>
        <w:t xml:space="preserve"> no podría ser analizada ni entendida sin tener en cuenta la perspectiva global que explicase sus raíces originarias</w:t>
      </w:r>
      <w:r>
        <w:rPr>
          <w:rFonts w:cs="Times New Roman"/>
          <w:szCs w:val="24"/>
        </w:rPr>
        <w:t xml:space="preserve"> como</w:t>
      </w:r>
      <w:r w:rsidRPr="00E8751B">
        <w:rPr>
          <w:rFonts w:cs="Times New Roman"/>
          <w:szCs w:val="24"/>
        </w:rPr>
        <w:t xml:space="preserve"> consecuencia de los múltiples factores como son los efectos de la crisis ecológica mundial, entre ellos: el aumento de las temperaturas, el agujero en la capa de ozono, la desertificación, la acumulación de residuos radiactivos, la extensión de enfermedades como el cáncer, la malaria, la insalubridad del agua dulce, la inseguridad alimentaria, la contaminación urbana y el agotamiento de los recursos renovables y no renovables, el calentamiento global, entre otras. Cuestiones vinculadas de forma directa o indirecta con la institución jurídica analizada, al guardar relación con los problemas ambientales que hoy acontecen al no aplicarse esta actividad de control ambiental en su mayoría por parte de las EFS a las formas de gestión en cada nación.</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C9111A">
        <w:rPr>
          <w:rFonts w:cs="Times New Roman"/>
          <w:szCs w:val="24"/>
        </w:rPr>
        <w:t>Antúnez Sánchez</w:t>
      </w:r>
      <w:r w:rsidRPr="00E8751B">
        <w:rPr>
          <w:rStyle w:val="Refdenotaalpie"/>
          <w:rFonts w:cs="Times New Roman"/>
          <w:smallCaps/>
          <w:szCs w:val="24"/>
        </w:rPr>
        <w:footnoteReference w:id="26"/>
      </w:r>
      <w:r w:rsidRPr="00E8751B">
        <w:rPr>
          <w:rFonts w:cs="Times New Roman"/>
          <w:szCs w:val="24"/>
        </w:rPr>
        <w:t xml:space="preserve"> considera que la EFS, como sujeto internacional</w:t>
      </w:r>
      <w:r>
        <w:rPr>
          <w:rFonts w:cs="Times New Roman"/>
          <w:szCs w:val="24"/>
        </w:rPr>
        <w:t>,</w:t>
      </w:r>
      <w:r w:rsidRPr="00E8751B">
        <w:rPr>
          <w:rFonts w:cs="Times New Roman"/>
          <w:szCs w:val="24"/>
        </w:rPr>
        <w:t xml:space="preserve"> es regulador de esta actividad de control ambiental, establece las pautas para identificarla, y la define:</w:t>
      </w:r>
      <w:r>
        <w:rPr>
          <w:rFonts w:cs="Times New Roman"/>
          <w:szCs w:val="24"/>
        </w:rPr>
        <w:t xml:space="preserve"> </w:t>
      </w:r>
      <w:r w:rsidRPr="00C9111A">
        <w:rPr>
          <w:rFonts w:cs="Times New Roman"/>
          <w:szCs w:val="24"/>
        </w:rPr>
        <w:t>“como la herramienta técnica de gestión para realizar la evaluación sistemática, documentada, periódica y objetiva de la efectividad de la organización auditada; de la gerencia y de los equipos ambientales con el fin de proteger el ambiente con un mejor control de las prácticas ambientales y su evaluación. Y para cumplir las políticas ambientales establecidas por la empresa y las normativas legales establecidas, a partir de la institucionalización de su tutela ambiental”</w:t>
      </w:r>
      <w:r>
        <w:rPr>
          <w:rFonts w:cs="Times New Roman"/>
          <w:szCs w:val="24"/>
        </w:rPr>
        <w:t>.</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Las normas ISO 14 001 y 19 </w:t>
      </w:r>
      <w:r>
        <w:rPr>
          <w:rFonts w:cs="Times New Roman"/>
          <w:szCs w:val="24"/>
        </w:rPr>
        <w:t xml:space="preserve">011 la definen como </w:t>
      </w:r>
      <w:r w:rsidRPr="00C9111A">
        <w:rPr>
          <w:rFonts w:cs="Times New Roman"/>
          <w:szCs w:val="24"/>
        </w:rPr>
        <w:t>“el proceso sistemático, autónomo y documentado para obtener evidencias de la auditoría, evalúa de manera objetiva con el fin de determinar la extensión en que se cumplen los criterios de auditoría...”</w:t>
      </w:r>
      <w:r>
        <w:rPr>
          <w:rFonts w:cs="Times New Roman"/>
          <w:szCs w:val="24"/>
        </w:rPr>
        <w:t xml:space="preserve">. </w:t>
      </w:r>
      <w:r w:rsidRPr="00E8751B">
        <w:rPr>
          <w:rFonts w:cs="Times New Roman"/>
          <w:szCs w:val="24"/>
        </w:rPr>
        <w:t xml:space="preserve">Al respecto, este autor reconoce las denominaciones análogas que desde la doctrina </w:t>
      </w:r>
      <w:r w:rsidRPr="00E8751B">
        <w:rPr>
          <w:rFonts w:cs="Times New Roman"/>
          <w:i/>
          <w:szCs w:val="24"/>
        </w:rPr>
        <w:t>ius</w:t>
      </w:r>
      <w:r w:rsidRPr="00E8751B">
        <w:rPr>
          <w:rFonts w:cs="Times New Roman"/>
          <w:szCs w:val="24"/>
        </w:rPr>
        <w:t xml:space="preserve"> ambientalista</w:t>
      </w:r>
      <w:r>
        <w:rPr>
          <w:rFonts w:cs="Times New Roman"/>
          <w:szCs w:val="24"/>
        </w:rPr>
        <w:t xml:space="preserve"> toman posiciones autores, como</w:t>
      </w:r>
      <w:r w:rsidRPr="00E8751B">
        <w:rPr>
          <w:rFonts w:cs="Times New Roman"/>
          <w:szCs w:val="24"/>
        </w:rPr>
        <w:t xml:space="preserve"> ecoauditoría, revisión ambiental, control ambiental, evaluación ambiental y vigilancia ambiental, entre otras. Todas poseen un mismo significado y fin: </w:t>
      </w:r>
      <w:r w:rsidRPr="00C9111A">
        <w:rPr>
          <w:rFonts w:cs="Times New Roman"/>
          <w:szCs w:val="24"/>
        </w:rPr>
        <w:t>conocer los niveles de contaminación de una empresa</w:t>
      </w:r>
      <w:r>
        <w:rPr>
          <w:rFonts w:cs="Times New Roman"/>
          <w:szCs w:val="24"/>
        </w:rPr>
        <w:t>,</w:t>
      </w:r>
      <w:r w:rsidRPr="00C9111A">
        <w:rPr>
          <w:rFonts w:cs="Times New Roman"/>
          <w:szCs w:val="24"/>
        </w:rPr>
        <w:t xml:space="preserve"> al emplear las tecnologías limpias, para obtener la certificación ambiental,</w:t>
      </w:r>
      <w:r w:rsidRPr="00E8751B">
        <w:rPr>
          <w:rFonts w:cs="Times New Roman"/>
          <w:szCs w:val="24"/>
        </w:rPr>
        <w:t xml:space="preserve"> conceptos con los que este autor coincide, por perseguir un mismo fin.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C9111A">
        <w:rPr>
          <w:rFonts w:cs="Times New Roman"/>
          <w:szCs w:val="24"/>
        </w:rPr>
        <w:lastRenderedPageBreak/>
        <w:t>En todo este ámbito</w:t>
      </w:r>
      <w:r>
        <w:rPr>
          <w:rFonts w:cs="Times New Roman"/>
          <w:szCs w:val="24"/>
        </w:rPr>
        <w:t>,</w:t>
      </w:r>
      <w:r w:rsidRPr="00C9111A">
        <w:rPr>
          <w:rFonts w:cs="Times New Roman"/>
          <w:szCs w:val="24"/>
        </w:rPr>
        <w:t xml:space="preserve"> analizado a partir de los criterios doctrinales, conceptos y regulaciones jurídicas consultadas por este autor, </w:t>
      </w:r>
      <w:r>
        <w:rPr>
          <w:rFonts w:cs="Times New Roman"/>
          <w:szCs w:val="24"/>
        </w:rPr>
        <w:t>se caracteriza</w:t>
      </w:r>
      <w:r w:rsidRPr="00C9111A">
        <w:rPr>
          <w:rFonts w:cs="Times New Roman"/>
          <w:szCs w:val="24"/>
        </w:rPr>
        <w:t xml:space="preserve"> a es</w:t>
      </w:r>
      <w:r>
        <w:rPr>
          <w:rFonts w:cs="Times New Roman"/>
          <w:szCs w:val="24"/>
        </w:rPr>
        <w:t xml:space="preserve">te tipo de auditoría por ser: </w:t>
      </w:r>
      <w:r w:rsidRPr="00C9111A">
        <w:rPr>
          <w:rFonts w:cs="Times New Roman"/>
          <w:szCs w:val="24"/>
        </w:rPr>
        <w:t>generalizada al abarcar los SGA, de revisión ambiental, puntual, de conformidad, de siniestros, de riesgos, de adquisición, de seguridad e higiene, de cumplimiento de la legalidad y de recursos. Criterios</w:t>
      </w:r>
      <w:r w:rsidRPr="00E8751B">
        <w:rPr>
          <w:rFonts w:cs="Times New Roman"/>
          <w:szCs w:val="24"/>
        </w:rPr>
        <w:t xml:space="preserve"> que tienen en cuenta el escenario a auditar donde s</w:t>
      </w:r>
      <w:r>
        <w:rPr>
          <w:rFonts w:cs="Times New Roman"/>
          <w:szCs w:val="24"/>
        </w:rPr>
        <w:t>e practicará, clasificadas como</w:t>
      </w:r>
      <w:r w:rsidRPr="00E8751B">
        <w:rPr>
          <w:rFonts w:cs="Times New Roman"/>
          <w:szCs w:val="24"/>
        </w:rPr>
        <w:t xml:space="preserve"> de entorno interior y de entorno exterior. Su objetivo, evaluar el impacto ambiental de la gestión empresarial generada sobre el ambiente y proponer las acciones correctivas para mitigar los efectos negativos identificados, concluye con la entrega de la certificación ambiental de empresa o industria no contami</w:t>
      </w:r>
      <w:r>
        <w:rPr>
          <w:rFonts w:cs="Times New Roman"/>
          <w:szCs w:val="24"/>
        </w:rPr>
        <w:t>nadora —</w:t>
      </w:r>
      <w:r w:rsidRPr="00E8751B">
        <w:rPr>
          <w:rFonts w:cs="Times New Roman"/>
          <w:szCs w:val="24"/>
        </w:rPr>
        <w:t xml:space="preserve">amigable o responsable </w:t>
      </w:r>
      <w:r>
        <w:rPr>
          <w:rFonts w:cs="Times New Roman"/>
          <w:szCs w:val="24"/>
        </w:rPr>
        <w:t>con el ambiente—</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995584" w:rsidRDefault="002204E0" w:rsidP="002204E0">
      <w:pPr>
        <w:spacing w:line="360" w:lineRule="auto"/>
        <w:ind w:left="-142" w:right="-144" w:firstLine="850"/>
        <w:contextualSpacing/>
        <w:rPr>
          <w:rFonts w:cs="Times New Roman"/>
          <w:szCs w:val="24"/>
        </w:rPr>
      </w:pPr>
      <w:r w:rsidRPr="00E8751B">
        <w:rPr>
          <w:rFonts w:cs="Times New Roman"/>
          <w:szCs w:val="24"/>
        </w:rPr>
        <w:t>La auditoría ambiental le permitirá a los empresarios obtener beneficios en materia de competencia en el comercio interno y foráneo, con otros valores agregados al obtenerse la etiqueta</w:t>
      </w:r>
      <w:r>
        <w:rPr>
          <w:rFonts w:cs="Times New Roman"/>
          <w:szCs w:val="24"/>
        </w:rPr>
        <w:t xml:space="preserve"> —</w:t>
      </w:r>
      <w:r w:rsidRPr="00E8751B">
        <w:rPr>
          <w:rFonts w:cs="Times New Roman"/>
          <w:szCs w:val="24"/>
        </w:rPr>
        <w:t xml:space="preserve">certificación ambiental, al aplicar los códigos de conducta ambiental con las buenas prácticas ambientales como empresas responsables con el ambiente al ganar con ello una adecuada ética empresarial, postura esta defendida por autores como </w:t>
      </w:r>
      <w:r w:rsidRPr="00995584">
        <w:rPr>
          <w:rFonts w:cs="Times New Roman"/>
          <w:szCs w:val="24"/>
        </w:rPr>
        <w:t>Martín Mateo</w:t>
      </w:r>
      <w:r w:rsidRPr="00995584">
        <w:rPr>
          <w:rStyle w:val="Refdenotaalpie"/>
          <w:rFonts w:cs="Times New Roman"/>
          <w:szCs w:val="24"/>
        </w:rPr>
        <w:footnoteReference w:id="27"/>
      </w:r>
      <w:r w:rsidRPr="00995584">
        <w:rPr>
          <w:rFonts w:cs="Times New Roman"/>
          <w:szCs w:val="24"/>
        </w:rPr>
        <w:t>, Lorenzetti</w:t>
      </w:r>
      <w:r w:rsidRPr="00995584">
        <w:rPr>
          <w:rStyle w:val="Refdenotaalpie"/>
          <w:rFonts w:cs="Times New Roman"/>
          <w:szCs w:val="24"/>
        </w:rPr>
        <w:footnoteReference w:id="28"/>
      </w:r>
      <w:r w:rsidRPr="00995584">
        <w:rPr>
          <w:rFonts w:cs="Times New Roman"/>
          <w:szCs w:val="24"/>
        </w:rPr>
        <w:t xml:space="preserve"> y Lozano Cutanda</w:t>
      </w:r>
      <w:r w:rsidRPr="00995584">
        <w:rPr>
          <w:rStyle w:val="Refdenotaalpie"/>
          <w:rFonts w:cs="Times New Roman"/>
          <w:szCs w:val="24"/>
        </w:rPr>
        <w:footnoteReference w:id="29"/>
      </w:r>
      <w:r w:rsidRPr="00995584">
        <w:rPr>
          <w:rFonts w:cs="Times New Roman"/>
          <w:szCs w:val="24"/>
        </w:rPr>
        <w:t>.</w:t>
      </w:r>
      <w:r>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Como herramienta de gestión empresarial, en los países de la Unión Europea, América Latina y el Caribe se ha determinado que la auditoría ambiental es capaz de evaluar y sentar las bases de una política ambiental dirigida a los empresarios en las formas de gestión. Tiene como finalidad ejecutar el análisis de los riesgos ambientales que pudieran generarse en el desempeño de su actividad y evaluar los impactos ambientales.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contextualSpacing/>
        <w:rPr>
          <w:rFonts w:cs="Times New Roman"/>
          <w:szCs w:val="24"/>
        </w:rPr>
      </w:pPr>
      <w:r>
        <w:rPr>
          <w:rFonts w:cs="Times New Roman"/>
          <w:szCs w:val="24"/>
        </w:rPr>
        <w:t xml:space="preserve">      </w:t>
      </w:r>
      <w:r w:rsidRPr="00E8751B">
        <w:rPr>
          <w:rFonts w:cs="Times New Roman"/>
          <w:szCs w:val="24"/>
        </w:rPr>
        <w:t xml:space="preserve"> Entre otras características se coincide que este tipo de auditoría es o</w:t>
      </w:r>
      <w:r>
        <w:rPr>
          <w:rFonts w:cs="Times New Roman"/>
          <w:szCs w:val="24"/>
        </w:rPr>
        <w:t>bligatoria en relación con</w:t>
      </w:r>
      <w:r w:rsidRPr="00E8751B">
        <w:rPr>
          <w:rFonts w:cs="Times New Roman"/>
          <w:szCs w:val="24"/>
        </w:rPr>
        <w:t xml:space="preserve"> la forma que la regule la legislación, complementada con la implementación de las normas ISO 14 000, 19 011 y las EMAS</w:t>
      </w:r>
      <w:r>
        <w:rPr>
          <w:rFonts w:cs="Times New Roman"/>
          <w:szCs w:val="24"/>
        </w:rPr>
        <w:t>,</w:t>
      </w:r>
      <w:r w:rsidRPr="00E8751B">
        <w:rPr>
          <w:rFonts w:cs="Times New Roman"/>
          <w:szCs w:val="24"/>
        </w:rPr>
        <w:t xml:space="preserve"> como se reseñó; los acuerdos y convenios de la EFS que desarrollan esta evaluación ambiental a nivel global ponderan su requerimiento para mitigar la contaminación ambiental. La solicitada de forma voluntaria es la de uso mayoritario en su ejecución al prevalecer la forma de gestión privada.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En su ejecución se conjuga el objetivo prioritario de la empresa: obtener beneficios económicos unidos a la protección ambiental para tributar al desarrollo económico compatible con la conservación ambiental y</w:t>
      </w:r>
      <w:r>
        <w:rPr>
          <w:rFonts w:cs="Times New Roman"/>
          <w:szCs w:val="24"/>
        </w:rPr>
        <w:t>,</w:t>
      </w:r>
      <w:r w:rsidRPr="00E8751B">
        <w:rPr>
          <w:rFonts w:cs="Times New Roman"/>
          <w:szCs w:val="24"/>
        </w:rPr>
        <w:t xml:space="preserve"> con ello</w:t>
      </w:r>
      <w:r>
        <w:rPr>
          <w:rFonts w:cs="Times New Roman"/>
          <w:szCs w:val="24"/>
        </w:rPr>
        <w:t>,</w:t>
      </w:r>
      <w:r w:rsidRPr="00E8751B">
        <w:rPr>
          <w:rFonts w:cs="Times New Roman"/>
          <w:szCs w:val="24"/>
        </w:rPr>
        <w:t xml:space="preserve"> lograr el equilibrio de ambos, criterios comunes emitidos por la EFS, la Asociación Americana de Contabilidad y el PNUMA</w:t>
      </w:r>
      <w:r>
        <w:rPr>
          <w:rFonts w:cs="Times New Roman"/>
          <w:szCs w:val="24"/>
        </w:rPr>
        <w:t xml:space="preserve">.     </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995584">
        <w:rPr>
          <w:rFonts w:cs="Times New Roman"/>
          <w:szCs w:val="24"/>
        </w:rPr>
        <w:t>Naess</w:t>
      </w:r>
      <w:r w:rsidRPr="00E8751B">
        <w:rPr>
          <w:rStyle w:val="Refdenotaalpie"/>
          <w:rFonts w:cs="Times New Roman"/>
          <w:szCs w:val="24"/>
        </w:rPr>
        <w:footnoteReference w:id="30"/>
      </w:r>
      <w:r w:rsidRPr="00E8751B">
        <w:rPr>
          <w:rFonts w:cs="Times New Roman"/>
          <w:szCs w:val="24"/>
        </w:rPr>
        <w:t xml:space="preserve">, en correspondencia analizó el vínculo que tiene esta actividad de control ambiental con los conceptos de economía y contabilidad ambiental establecidos por el PNUMA, necesarios para ejecutarla por el equipo auditor a través de un programa auditor el que permite evaluar el presupuesto financiero destinado a la protección ambiental y certificarlo, aportando otro valor agregado al sujeto auditado. Meta aún no lograda en la mayoría de los países de América Latina.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En los ordenamientos jurídicos </w:t>
      </w:r>
      <w:r>
        <w:rPr>
          <w:rFonts w:cs="Times New Roman"/>
          <w:szCs w:val="24"/>
        </w:rPr>
        <w:t>se valoró có</w:t>
      </w:r>
      <w:r w:rsidRPr="00E8751B">
        <w:rPr>
          <w:rFonts w:cs="Times New Roman"/>
          <w:szCs w:val="24"/>
        </w:rPr>
        <w:t>mo se dispone su tutela a través de leyes orgánicas del ambiente, en leyes de contraloría y en leyes especiales de la a</w:t>
      </w:r>
      <w:r>
        <w:rPr>
          <w:rFonts w:cs="Times New Roman"/>
          <w:szCs w:val="24"/>
        </w:rPr>
        <w:t>uditoría ambiental en relación con</w:t>
      </w:r>
      <w:r w:rsidRPr="00E8751B">
        <w:rPr>
          <w:rFonts w:cs="Times New Roman"/>
          <w:szCs w:val="24"/>
        </w:rPr>
        <w:t xml:space="preserve"> los países de Iberoamérica. Está ligada en su práctica a otras herramientas de gestión ambi</w:t>
      </w:r>
      <w:r>
        <w:rPr>
          <w:rFonts w:cs="Times New Roman"/>
          <w:szCs w:val="24"/>
        </w:rPr>
        <w:t>ental ya establecidas, como son:</w:t>
      </w:r>
      <w:r w:rsidRPr="00E8751B">
        <w:rPr>
          <w:rFonts w:cs="Times New Roman"/>
          <w:szCs w:val="24"/>
        </w:rPr>
        <w:t xml:space="preserve"> la res</w:t>
      </w:r>
      <w:r>
        <w:rPr>
          <w:rFonts w:cs="Times New Roman"/>
          <w:szCs w:val="24"/>
        </w:rPr>
        <w:t>ponsabilidad social empresarial;</w:t>
      </w:r>
      <w:r w:rsidRPr="00E8751B">
        <w:rPr>
          <w:rFonts w:cs="Times New Roman"/>
          <w:szCs w:val="24"/>
        </w:rPr>
        <w:t xml:space="preserve"> la responsabilidad ambiental, con instrumentos económicos y tecnológicos</w:t>
      </w:r>
      <w:r>
        <w:rPr>
          <w:rFonts w:cs="Times New Roman"/>
          <w:szCs w:val="24"/>
        </w:rPr>
        <w:t xml:space="preserve"> que se aplican en su ejecución,</w:t>
      </w:r>
      <w:r w:rsidRPr="00E8751B">
        <w:rPr>
          <w:rFonts w:cs="Times New Roman"/>
          <w:szCs w:val="24"/>
        </w:rPr>
        <w:t xml:space="preserve"> </w:t>
      </w:r>
      <w:r>
        <w:rPr>
          <w:rFonts w:cs="Times New Roman"/>
          <w:szCs w:val="24"/>
        </w:rPr>
        <w:t>y la reingeniería de procesos. E</w:t>
      </w:r>
      <w:r w:rsidRPr="00E8751B">
        <w:rPr>
          <w:rFonts w:cs="Times New Roman"/>
          <w:szCs w:val="24"/>
        </w:rPr>
        <w:t>n conjunto</w:t>
      </w:r>
      <w:r>
        <w:rPr>
          <w:rFonts w:cs="Times New Roman"/>
          <w:szCs w:val="24"/>
        </w:rPr>
        <w:t>,</w:t>
      </w:r>
      <w:r w:rsidRPr="00E8751B">
        <w:rPr>
          <w:rFonts w:cs="Times New Roman"/>
          <w:szCs w:val="24"/>
        </w:rPr>
        <w:t xml:space="preserve"> todos la hacen más compleja.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contextualSpacing/>
        <w:rPr>
          <w:rFonts w:cs="Times New Roman"/>
          <w:b/>
          <w:szCs w:val="24"/>
        </w:rPr>
      </w:pPr>
      <w:r>
        <w:rPr>
          <w:rFonts w:cs="Times New Roman"/>
          <w:b/>
          <w:smallCaps/>
          <w:szCs w:val="24"/>
        </w:rPr>
        <w:t>III</w:t>
      </w:r>
      <w:r w:rsidRPr="00E8751B">
        <w:rPr>
          <w:rFonts w:cs="Times New Roman"/>
          <w:b/>
          <w:smallCaps/>
          <w:szCs w:val="24"/>
        </w:rPr>
        <w:t xml:space="preserve">. </w:t>
      </w:r>
      <w:r w:rsidRPr="00E8751B">
        <w:rPr>
          <w:rFonts w:cs="Times New Roman"/>
          <w:b/>
          <w:szCs w:val="24"/>
        </w:rPr>
        <w:t>Los principios del derecho ambiental que informan a la Auditoría Ambiental en Cuba</w:t>
      </w:r>
    </w:p>
    <w:p w:rsidR="002204E0" w:rsidRPr="00E8751B" w:rsidRDefault="002204E0" w:rsidP="002204E0">
      <w:pPr>
        <w:spacing w:line="360" w:lineRule="auto"/>
        <w:ind w:left="-142" w:right="-144"/>
        <w:contextualSpacing/>
        <w:rPr>
          <w:rFonts w:cs="Times New Roman"/>
          <w:b/>
          <w:szCs w:val="24"/>
        </w:rPr>
      </w:pPr>
    </w:p>
    <w:p w:rsidR="002204E0" w:rsidRPr="00E8751B" w:rsidRDefault="002204E0" w:rsidP="002204E0">
      <w:pPr>
        <w:spacing w:line="360" w:lineRule="auto"/>
        <w:ind w:left="-142" w:right="-144"/>
        <w:contextualSpacing/>
        <w:rPr>
          <w:rFonts w:cs="Times New Roman"/>
          <w:szCs w:val="24"/>
          <w:highlight w:val="yellow"/>
        </w:rPr>
      </w:pPr>
      <w:r w:rsidRPr="0017785D">
        <w:rPr>
          <w:rFonts w:cs="Times New Roman"/>
          <w:szCs w:val="24"/>
        </w:rPr>
        <w:t>Antúnez Sánchez</w:t>
      </w:r>
      <w:r w:rsidRPr="00E8751B">
        <w:rPr>
          <w:rStyle w:val="Refdenotaalpie"/>
          <w:rFonts w:cs="Times New Roman"/>
          <w:smallCaps/>
          <w:szCs w:val="24"/>
        </w:rPr>
        <w:footnoteReference w:id="31"/>
      </w:r>
      <w:r w:rsidRPr="00E8751B">
        <w:rPr>
          <w:rFonts w:cs="Times New Roman"/>
          <w:szCs w:val="24"/>
        </w:rPr>
        <w:t xml:space="preserve"> valora que la auditoría ambiental, como herramienta de gestión ambiental, ejecutada por el órgano de control al vincularla a los principios del derecho ambiental en relación con</w:t>
      </w:r>
      <w:r>
        <w:rPr>
          <w:rFonts w:cs="Times New Roman"/>
          <w:szCs w:val="24"/>
        </w:rPr>
        <w:t xml:space="preserve"> el haz de principios jurídicos </w:t>
      </w:r>
      <w:r w:rsidRPr="00E8751B">
        <w:rPr>
          <w:rFonts w:cs="Times New Roman"/>
          <w:szCs w:val="24"/>
        </w:rPr>
        <w:t>que se consideran están vinculados en su aplicación dentro de las formas de gestión en Cuba</w:t>
      </w:r>
      <w:r>
        <w:rPr>
          <w:rFonts w:cs="Times New Roman"/>
          <w:szCs w:val="24"/>
        </w:rPr>
        <w:t>, é</w:t>
      </w:r>
      <w:r w:rsidRPr="00E8751B">
        <w:rPr>
          <w:rFonts w:cs="Times New Roman"/>
          <w:szCs w:val="24"/>
        </w:rPr>
        <w:t xml:space="preserve">stos serían: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función de la auditoría pública es u</w:t>
      </w:r>
      <w:r>
        <w:rPr>
          <w:rFonts w:cs="Times New Roman"/>
          <w:szCs w:val="24"/>
        </w:rPr>
        <w:t>na acción preventiva al ser de —</w:t>
      </w:r>
      <w:r w:rsidRPr="00E8751B">
        <w:rPr>
          <w:rFonts w:cs="Times New Roman"/>
          <w:szCs w:val="24"/>
        </w:rPr>
        <w:t xml:space="preserve">utilización sistemática por los directivos de la empresa del sector estatal cubano, le facilita a los empresarios la adecuada observancia de la </w:t>
      </w:r>
      <w:r w:rsidRPr="00E8751B">
        <w:rPr>
          <w:rFonts w:cs="Times New Roman"/>
          <w:szCs w:val="24"/>
        </w:rPr>
        <w:lastRenderedPageBreak/>
        <w:t xml:space="preserve">normativa ambiental y la eliminación o la reducción </w:t>
      </w:r>
      <w:r>
        <w:rPr>
          <w:rFonts w:cs="Times New Roman"/>
          <w:szCs w:val="24"/>
        </w:rPr>
        <w:t>de los daños—</w:t>
      </w:r>
      <w:r w:rsidRPr="00E8751B">
        <w:rPr>
          <w:rFonts w:cs="Times New Roman"/>
          <w:szCs w:val="24"/>
        </w:rPr>
        <w:t xml:space="preserve">, es compatible con el principio de prevención al operar con el riesgo conocido o el real.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En la nación se ejecutan a través de la implementación en las formas de gestión estatal con la conformación del Plan de Prevención regulado por la Contraloría General de la República, al que se le incluyen medidas en relación con la protección del ambiente y la seguridad laboral en lo endógeno y exógeno con el control interno de manera permanente en todo el sector estatal.</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Tiene vínculo con el principio precautorio toda vez que con la implementación de la norma ISO 26 000, le permite a los empresarios ejecutar acciones para conformar una empresa respons</w:t>
      </w:r>
      <w:r>
        <w:rPr>
          <w:rFonts w:cs="Times New Roman"/>
          <w:szCs w:val="24"/>
        </w:rPr>
        <w:t>able con el ambiente,</w:t>
      </w:r>
      <w:r w:rsidRPr="00E8751B">
        <w:rPr>
          <w:rFonts w:cs="Times New Roman"/>
          <w:szCs w:val="24"/>
        </w:rPr>
        <w:t xml:space="preserve"> ante la posible comisión de daños futuros o inciertos al operar sobre el riesgo del desarrollo como meta hacia el desarrollo sostenible ante los riesgos posibles de la empresa o la industria cuando se introducen nuevas tecnologías. En este caso</w:t>
      </w:r>
      <w:r>
        <w:rPr>
          <w:rFonts w:cs="Times New Roman"/>
          <w:szCs w:val="24"/>
        </w:rPr>
        <w:t>,</w:t>
      </w:r>
      <w:r w:rsidRPr="008B3FF1">
        <w:rPr>
          <w:rFonts w:cs="Times New Roman"/>
          <w:szCs w:val="24"/>
        </w:rPr>
        <w:t xml:space="preserve"> </w:t>
      </w:r>
      <w:r w:rsidRPr="00E8751B">
        <w:rPr>
          <w:rFonts w:cs="Times New Roman"/>
          <w:szCs w:val="24"/>
        </w:rPr>
        <w:t xml:space="preserve">deberán ser observadas las denominadas </w:t>
      </w:r>
      <w:r w:rsidRPr="00E8751B">
        <w:rPr>
          <w:rFonts w:cs="Times New Roman"/>
          <w:i/>
          <w:szCs w:val="24"/>
        </w:rPr>
        <w:t>tecnologías limpias</w:t>
      </w:r>
      <w:r>
        <w:rPr>
          <w:rFonts w:cs="Times New Roman"/>
          <w:szCs w:val="24"/>
        </w:rPr>
        <w:t xml:space="preserve">, </w:t>
      </w:r>
      <w:r w:rsidRPr="00E8751B">
        <w:rPr>
          <w:rFonts w:cs="Times New Roman"/>
          <w:szCs w:val="24"/>
        </w:rPr>
        <w:t>por ser menos contaminadoras</w:t>
      </w:r>
      <w:r>
        <w:rPr>
          <w:rFonts w:cs="Times New Roman"/>
          <w:szCs w:val="24"/>
        </w:rPr>
        <w:t>,</w:t>
      </w:r>
      <w:r w:rsidRPr="00E8751B">
        <w:rPr>
          <w:rFonts w:cs="Times New Roman"/>
          <w:szCs w:val="24"/>
        </w:rPr>
        <w:t xml:space="preserve"> antes de ser generalizada su aplicación. </w:t>
      </w:r>
    </w:p>
    <w:p w:rsidR="002204E0" w:rsidRPr="00E8751B" w:rsidRDefault="002204E0" w:rsidP="002204E0">
      <w:pPr>
        <w:spacing w:line="360" w:lineRule="auto"/>
        <w:ind w:left="-142" w:right="-144" w:firstLine="850"/>
        <w:contextualSpacing/>
        <w:rPr>
          <w:rFonts w:cs="Times New Roman"/>
          <w:szCs w:val="24"/>
        </w:rPr>
      </w:pPr>
    </w:p>
    <w:p w:rsidR="002204E0" w:rsidRPr="008B3FF1" w:rsidRDefault="002204E0" w:rsidP="002204E0">
      <w:pPr>
        <w:spacing w:line="360" w:lineRule="auto"/>
        <w:ind w:left="-142" w:right="-144" w:firstLine="850"/>
        <w:contextualSpacing/>
        <w:rPr>
          <w:rFonts w:cs="Times New Roman"/>
          <w:szCs w:val="24"/>
        </w:rPr>
      </w:pPr>
      <w:r>
        <w:rPr>
          <w:rFonts w:cs="Times New Roman"/>
          <w:szCs w:val="24"/>
        </w:rPr>
        <w:t>Se valora có</w:t>
      </w:r>
      <w:r w:rsidRPr="00E8751B">
        <w:rPr>
          <w:rFonts w:cs="Times New Roman"/>
          <w:szCs w:val="24"/>
        </w:rPr>
        <w:t>mo en Cuba son escasos los antecedentes del principio de precaución, el Código Civil Español vi</w:t>
      </w:r>
      <w:r>
        <w:rPr>
          <w:rFonts w:cs="Times New Roman"/>
          <w:szCs w:val="24"/>
        </w:rPr>
        <w:t>gente en el país durante el peri</w:t>
      </w:r>
      <w:r w:rsidRPr="00E8751B">
        <w:rPr>
          <w:rFonts w:cs="Times New Roman"/>
          <w:szCs w:val="24"/>
        </w:rPr>
        <w:t>odo de colonia en su artículo 390</w:t>
      </w:r>
      <w:r>
        <w:rPr>
          <w:rFonts w:cs="Times New Roman"/>
          <w:szCs w:val="24"/>
        </w:rPr>
        <w:t xml:space="preserve"> só</w:t>
      </w:r>
      <w:r w:rsidRPr="00E8751B">
        <w:rPr>
          <w:rFonts w:cs="Times New Roman"/>
          <w:szCs w:val="24"/>
        </w:rPr>
        <w:t>lo dispuso</w:t>
      </w:r>
      <w:r>
        <w:rPr>
          <w:rFonts w:cs="Times New Roman"/>
          <w:szCs w:val="24"/>
        </w:rPr>
        <w:t>: “</w:t>
      </w:r>
      <w:r w:rsidRPr="008B3FF1">
        <w:rPr>
          <w:rFonts w:cs="Times New Roman"/>
          <w:szCs w:val="24"/>
        </w:rPr>
        <w:t>la obligación del due</w:t>
      </w:r>
      <w:r>
        <w:rPr>
          <w:rFonts w:cs="Times New Roman"/>
          <w:szCs w:val="24"/>
        </w:rPr>
        <w:t>ño del árbol de derribarlo, si é</w:t>
      </w:r>
      <w:r w:rsidRPr="008B3FF1">
        <w:rPr>
          <w:rFonts w:cs="Times New Roman"/>
          <w:szCs w:val="24"/>
        </w:rPr>
        <w:t>ste</w:t>
      </w:r>
      <w:r>
        <w:rPr>
          <w:rFonts w:cs="Times New Roman"/>
          <w:szCs w:val="24"/>
        </w:rPr>
        <w:t>,</w:t>
      </w:r>
      <w:r w:rsidRPr="008B3FF1">
        <w:rPr>
          <w:rFonts w:cs="Times New Roman"/>
          <w:szCs w:val="24"/>
        </w:rPr>
        <w:t xml:space="preserve"> siendo corpulento</w:t>
      </w:r>
      <w:r>
        <w:rPr>
          <w:rFonts w:cs="Times New Roman"/>
          <w:szCs w:val="24"/>
        </w:rPr>
        <w:t>,</w:t>
      </w:r>
      <w:r w:rsidRPr="008B3FF1">
        <w:rPr>
          <w:rFonts w:cs="Times New Roman"/>
          <w:szCs w:val="24"/>
        </w:rPr>
        <w:t xml:space="preserve"> amenazare caerse de modo que pueda causar daño en finca ajena o a los transeúntes por una vía pública o particular y si no lo hiciere el dueño, lo podrá ordenar la autoridad local a su costa, según la ley de los municipios”</w:t>
      </w:r>
      <w:r>
        <w:rPr>
          <w:rFonts w:cs="Times New Roman"/>
          <w:szCs w:val="24"/>
        </w:rPr>
        <w:t>.</w:t>
      </w:r>
    </w:p>
    <w:p w:rsidR="002204E0" w:rsidRPr="00E8751B" w:rsidRDefault="002204E0" w:rsidP="002204E0">
      <w:pPr>
        <w:spacing w:line="360" w:lineRule="auto"/>
        <w:ind w:left="-142" w:right="-144"/>
        <w:contextualSpacing/>
        <w:rPr>
          <w:rFonts w:cs="Times New Roman"/>
          <w:szCs w:val="24"/>
        </w:rPr>
      </w:pPr>
    </w:p>
    <w:p w:rsidR="002204E0" w:rsidRPr="00832719" w:rsidRDefault="002204E0" w:rsidP="002204E0">
      <w:pPr>
        <w:spacing w:line="360" w:lineRule="auto"/>
        <w:ind w:left="-142" w:right="-144" w:firstLine="850"/>
        <w:contextualSpacing/>
        <w:rPr>
          <w:rFonts w:cs="Times New Roman"/>
          <w:szCs w:val="24"/>
        </w:rPr>
      </w:pPr>
      <w:r>
        <w:rPr>
          <w:rFonts w:cs="Times New Roman"/>
          <w:szCs w:val="24"/>
        </w:rPr>
        <w:t>Ya en el peri</w:t>
      </w:r>
      <w:r w:rsidRPr="00E8751B">
        <w:rPr>
          <w:rFonts w:cs="Times New Roman"/>
          <w:szCs w:val="24"/>
        </w:rPr>
        <w:t>odo revolucionario, dentro del ordenamiento jurídico la Ley No. 81 de 1997, Ley del Medio Ambiente, es la norma jurídica que en Cuba tiene a su cargo la regulación concer</w:t>
      </w:r>
      <w:r>
        <w:rPr>
          <w:rFonts w:cs="Times New Roman"/>
          <w:szCs w:val="24"/>
        </w:rPr>
        <w:t>niente a la protección del</w:t>
      </w:r>
      <w:r w:rsidRPr="00E8751B">
        <w:rPr>
          <w:rFonts w:cs="Times New Roman"/>
          <w:szCs w:val="24"/>
        </w:rPr>
        <w:t xml:space="preserve"> ambiente, específicamente en el artículo 4 inciso d, se detalla cómo el principio de prevención es de primera observancia y luego la precaución será una garantía ante la existencia de un riesgo desconocido:</w:t>
      </w:r>
      <w:r>
        <w:rPr>
          <w:rFonts w:cs="Times New Roman"/>
          <w:szCs w:val="24"/>
        </w:rPr>
        <w:t xml:space="preserve"> </w:t>
      </w:r>
      <w:r w:rsidRPr="00832719">
        <w:rPr>
          <w:rFonts w:cs="Times New Roman"/>
          <w:szCs w:val="24"/>
        </w:rPr>
        <w:t>“La prioridad de la prevención mediante la adopción de medidas sobre una base científica y con los estudios técnicos y socioeconómicos que correspondan. En caso de peligro de da</w:t>
      </w:r>
      <w:r>
        <w:rPr>
          <w:rFonts w:cs="Times New Roman"/>
          <w:szCs w:val="24"/>
        </w:rPr>
        <w:t>ño grave o irreversible al</w:t>
      </w:r>
      <w:r w:rsidRPr="00832719">
        <w:rPr>
          <w:rFonts w:cs="Times New Roman"/>
          <w:szCs w:val="24"/>
        </w:rPr>
        <w:t xml:space="preserve"> ambiente, la falta de una certeza científica absoluta no podrá alegarse como razón para dejar de adoptar medidas preventivas”</w:t>
      </w:r>
      <w:r>
        <w:rPr>
          <w:rFonts w:cs="Times New Roman"/>
          <w:szCs w:val="24"/>
        </w:rPr>
        <w:t>.</w:t>
      </w:r>
    </w:p>
    <w:p w:rsidR="002204E0" w:rsidRPr="00E8751B" w:rsidRDefault="002204E0" w:rsidP="002204E0">
      <w:pPr>
        <w:spacing w:line="360" w:lineRule="auto"/>
        <w:ind w:left="-142" w:right="-144"/>
        <w:contextualSpacing/>
        <w:rPr>
          <w:rFonts w:cs="Times New Roman"/>
          <w:szCs w:val="24"/>
        </w:rPr>
      </w:pPr>
      <w:r>
        <w:rPr>
          <w:rFonts w:cs="Times New Roman"/>
          <w:szCs w:val="24"/>
        </w:rPr>
        <w:t xml:space="preserve">      </w:t>
      </w:r>
      <w:r w:rsidRPr="00E8751B">
        <w:rPr>
          <w:rFonts w:cs="Times New Roman"/>
          <w:szCs w:val="24"/>
        </w:rPr>
        <w:t xml:space="preserve"> </w:t>
      </w:r>
    </w:p>
    <w:p w:rsidR="002204E0" w:rsidRPr="00E8751B" w:rsidRDefault="002204E0" w:rsidP="002204E0">
      <w:pPr>
        <w:spacing w:line="360" w:lineRule="auto"/>
        <w:ind w:left="-142" w:right="-144"/>
        <w:contextualSpacing/>
        <w:rPr>
          <w:rFonts w:cs="Times New Roman"/>
          <w:szCs w:val="24"/>
        </w:rPr>
      </w:pPr>
      <w:r>
        <w:rPr>
          <w:rFonts w:cs="Times New Roman"/>
          <w:szCs w:val="24"/>
        </w:rPr>
        <w:lastRenderedPageBreak/>
        <w:t xml:space="preserve">       </w:t>
      </w:r>
      <w:r w:rsidRPr="00E8751B">
        <w:rPr>
          <w:rFonts w:cs="Times New Roman"/>
          <w:szCs w:val="24"/>
        </w:rPr>
        <w:t>Este principio</w:t>
      </w:r>
      <w:r>
        <w:rPr>
          <w:rFonts w:cs="Times New Roman"/>
          <w:szCs w:val="24"/>
        </w:rPr>
        <w:t>,</w:t>
      </w:r>
      <w:r w:rsidRPr="00E8751B">
        <w:rPr>
          <w:rFonts w:cs="Times New Roman"/>
          <w:szCs w:val="24"/>
        </w:rPr>
        <w:t xml:space="preserve"> al igual que el de prevención</w:t>
      </w:r>
      <w:r>
        <w:rPr>
          <w:rFonts w:cs="Times New Roman"/>
          <w:szCs w:val="24"/>
        </w:rPr>
        <w:t>, serían los</w:t>
      </w:r>
      <w:r w:rsidRPr="00E8751B">
        <w:rPr>
          <w:rFonts w:cs="Times New Roman"/>
          <w:szCs w:val="24"/>
        </w:rPr>
        <w:t xml:space="preserve"> que</w:t>
      </w:r>
      <w:r>
        <w:rPr>
          <w:rFonts w:cs="Times New Roman"/>
          <w:szCs w:val="24"/>
        </w:rPr>
        <w:t>,</w:t>
      </w:r>
      <w:r w:rsidRPr="00E8751B">
        <w:rPr>
          <w:rFonts w:cs="Times New Roman"/>
          <w:szCs w:val="24"/>
        </w:rPr>
        <w:t xml:space="preserve"> a consideración de este autor</w:t>
      </w:r>
      <w:r>
        <w:rPr>
          <w:rFonts w:cs="Times New Roman"/>
          <w:szCs w:val="24"/>
        </w:rPr>
        <w:t>,</w:t>
      </w:r>
      <w:r w:rsidRPr="00E8751B">
        <w:rPr>
          <w:rFonts w:cs="Times New Roman"/>
          <w:szCs w:val="24"/>
        </w:rPr>
        <w:t xml:space="preserve"> poseen mayor relevancia al ejecutarse la auditoría ambiental por el equipo auditor en la nación cubana a las formas de gestión del sector estatal al ser mayoritario y que en la actualización del modelo económico se pondera que continuará a través del fomento de la inversión extranjera en la nación, cuyo soporte legal es la Ley No. 118, Ley de la Inversión Extranjera de 2014.</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el principio de cooperación</w:t>
      </w:r>
      <w:r w:rsidRPr="00E8751B">
        <w:rPr>
          <w:rFonts w:cs="Times New Roman"/>
          <w:b/>
          <w:szCs w:val="24"/>
        </w:rPr>
        <w:t>,</w:t>
      </w:r>
      <w:r w:rsidRPr="00E8751B">
        <w:rPr>
          <w:rFonts w:cs="Times New Roman"/>
          <w:szCs w:val="24"/>
        </w:rPr>
        <w:t xml:space="preserve"> las EFS cooperan entre sí en la aplicación de las auditorías ambientales y en la ejecución de otros tipos de auditorías. En el caso de las auditorías de gestión cooperadas ejecutadas para el control del uso del agua en las cuencas hidrográficas</w:t>
      </w:r>
      <w:r>
        <w:rPr>
          <w:rFonts w:cs="Times New Roman"/>
          <w:szCs w:val="24"/>
        </w:rPr>
        <w:t>,</w:t>
      </w:r>
      <w:r w:rsidRPr="00E8751B">
        <w:rPr>
          <w:rFonts w:cs="Times New Roman"/>
          <w:szCs w:val="24"/>
        </w:rPr>
        <w:t xml:space="preserve"> Cuba la ejecutó con la dirección de la Contraloría General de la República con el acompañamiento de los organismos que integran la administración pública, en especial el Instituto Nacional de Recursos Hidráulicos. Se aprecia el trabajo en conjunto con las Unidades de Auditoría a partir de su conformación en los organismos que componen el entramado de la </w:t>
      </w:r>
      <w:r>
        <w:rPr>
          <w:rFonts w:cs="Times New Roman"/>
          <w:szCs w:val="24"/>
        </w:rPr>
        <w:t>administración pública</w:t>
      </w:r>
      <w:r w:rsidRPr="00E8751B">
        <w:rPr>
          <w:rFonts w:cs="Times New Roman"/>
          <w:szCs w:val="24"/>
        </w:rPr>
        <w:t xml:space="preserve"> y su representación territorial en las provincias de la nación cubana y en los Consejos de la Administración Pública en su</w:t>
      </w:r>
      <w:r>
        <w:rPr>
          <w:rFonts w:cs="Times New Roman"/>
          <w:szCs w:val="24"/>
        </w:rPr>
        <w:t>s Unidades de Auditoría Interna,</w:t>
      </w:r>
      <w:r w:rsidRPr="00E8751B">
        <w:rPr>
          <w:rFonts w:cs="Times New Roman"/>
          <w:szCs w:val="24"/>
        </w:rPr>
        <w:t xml:space="preserve"> </w:t>
      </w:r>
      <w:r>
        <w:rPr>
          <w:rFonts w:cs="Times New Roman"/>
          <w:szCs w:val="24"/>
        </w:rPr>
        <w:t>l</w:t>
      </w:r>
      <w:r w:rsidRPr="00E8751B">
        <w:rPr>
          <w:rFonts w:cs="Times New Roman"/>
          <w:szCs w:val="24"/>
        </w:rPr>
        <w:t>os que se conciben desde el Sistema Nacional de Auditoría Pública que se dirige desde la Contraloría.</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el principio de quien contamina paga, contribución que se realiza a través de la tributación ambiental por parte de las empresas y la industria, destinada a reparar los daños ambientales ocurridos. Al reconocerse en la nación dentro del ordenamiento jurídico con la Ley No. 113 de 2012, Ley Tributaria</w:t>
      </w:r>
      <w:r>
        <w:rPr>
          <w:rFonts w:cs="Times New Roman"/>
          <w:szCs w:val="24"/>
        </w:rPr>
        <w:t>,</w:t>
      </w:r>
      <w:r w:rsidRPr="00E8751B">
        <w:rPr>
          <w:rFonts w:cs="Times New Roman"/>
          <w:szCs w:val="24"/>
        </w:rPr>
        <w:t xml:space="preserve"> el impuesto ambiental vinculado con el vertido ambiental ya ha empezado a aplicarse en algunas de las bahías de la geografía cubana, para </w:t>
      </w:r>
      <w:r>
        <w:rPr>
          <w:rFonts w:cs="Times New Roman"/>
          <w:szCs w:val="24"/>
        </w:rPr>
        <w:t>implementarse</w:t>
      </w:r>
      <w:r w:rsidRPr="00E8751B">
        <w:rPr>
          <w:rFonts w:cs="Times New Roman"/>
          <w:szCs w:val="24"/>
        </w:rPr>
        <w:t xml:space="preserve"> de forma paulatina en el resto de la nación.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el principio de responsabilidad ambiental, la obediencia a la legislación en materia ambiental como parte de las políticas trazadas por la administración pública ante la observancia por los sujetos auditados, exigible en sus tres aristas a las formas de gestión en especial a las formas de gestión del sector estatal al ser la de mayor predominio en el país. Sin demeritar el cumplimiento de la normativa jurídica vinculante a la protección ambiental, con competencia y jurisdicción de otros organismos de la administración pública patria que ejercitan la potestad inspectora</w:t>
      </w:r>
      <w:r>
        <w:rPr>
          <w:rFonts w:cs="Times New Roman"/>
          <w:szCs w:val="24"/>
        </w:rPr>
        <w:t>,</w:t>
      </w:r>
      <w:r w:rsidRPr="00E8751B">
        <w:rPr>
          <w:rFonts w:cs="Times New Roman"/>
          <w:szCs w:val="24"/>
        </w:rPr>
        <w:t xml:space="preserve"> como el Ministerio de Salud Pública a través de la Ley No. 41 de 1984, Ley de la Salud Pública, el Instituto de Planificación Física para las Regulaciones Urbanísticas a través de</w:t>
      </w:r>
      <w:r>
        <w:rPr>
          <w:rFonts w:cs="Times New Roman"/>
          <w:szCs w:val="24"/>
        </w:rPr>
        <w:t>l D</w:t>
      </w:r>
      <w:r w:rsidRPr="00E8751B">
        <w:rPr>
          <w:rFonts w:cs="Times New Roman"/>
          <w:szCs w:val="24"/>
        </w:rPr>
        <w:t xml:space="preserve">ecreto No. 327, Reglamento del Proceso Inversionista </w:t>
      </w:r>
      <w:r>
        <w:rPr>
          <w:rFonts w:cs="Times New Roman"/>
          <w:szCs w:val="24"/>
        </w:rPr>
        <w:t>de 2015</w:t>
      </w:r>
      <w:r w:rsidRPr="00E8751B">
        <w:rPr>
          <w:rFonts w:cs="Times New Roman"/>
          <w:szCs w:val="24"/>
        </w:rPr>
        <w:t xml:space="preserve"> y el Instituto de Recursos Hidráulicos a través del Decreto Ley No. 138, De las aguas terrestres de 1993.</w:t>
      </w:r>
      <w:r>
        <w:rPr>
          <w:rFonts w:cs="Times New Roman"/>
          <w:szCs w:val="24"/>
        </w:rPr>
        <w:t xml:space="preserve">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Con el principio de participación ciudadana, </w:t>
      </w:r>
      <w:r>
        <w:rPr>
          <w:rFonts w:cs="Times New Roman"/>
          <w:szCs w:val="24"/>
        </w:rPr>
        <w:t xml:space="preserve">se </w:t>
      </w:r>
      <w:r w:rsidRPr="00E8751B">
        <w:rPr>
          <w:rFonts w:cs="Times New Roman"/>
          <w:szCs w:val="24"/>
        </w:rPr>
        <w:t xml:space="preserve">involucra </w:t>
      </w:r>
      <w:r>
        <w:rPr>
          <w:rFonts w:cs="Times New Roman"/>
          <w:szCs w:val="24"/>
        </w:rPr>
        <w:t>a</w:t>
      </w:r>
      <w:r w:rsidRPr="00E8751B">
        <w:rPr>
          <w:rFonts w:cs="Times New Roman"/>
          <w:szCs w:val="24"/>
        </w:rPr>
        <w:t xml:space="preserve"> acatar las normas ambientales dirigidas a la protección ambiental, como un bien público para las generaciones de hoy y las futuras, es criterio del autor que debe aún propiciarse mayor información de la problemática ambiental a través de los medios de comunicación nacionales con la articulación de mecanismos a través de los Consejos Populares de cada zona residencial.</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Otros principios presentes son el de equidad intergeneracional y el de sostenibilidad ambiental, en ellos se conjugan las tres dimensiones, social, económica y ambiental a t</w:t>
      </w:r>
      <w:r>
        <w:rPr>
          <w:rFonts w:cs="Times New Roman"/>
          <w:szCs w:val="24"/>
        </w:rPr>
        <w:t>ravés de una fórmula que permite</w:t>
      </w:r>
      <w:r w:rsidRPr="00E8751B">
        <w:rPr>
          <w:rFonts w:cs="Times New Roman"/>
          <w:szCs w:val="24"/>
        </w:rPr>
        <w:t xml:space="preserve"> gozar de un ambiente adecuado para las futuras generaciones. </w:t>
      </w:r>
      <w:r>
        <w:rPr>
          <w:rFonts w:cs="Times New Roman"/>
          <w:szCs w:val="24"/>
        </w:rPr>
        <w:t>É</w:t>
      </w:r>
      <w:r w:rsidRPr="00E8751B">
        <w:rPr>
          <w:rFonts w:cs="Times New Roman"/>
          <w:szCs w:val="24"/>
        </w:rPr>
        <w:t>stos tienen una implementación a través de la actualización del modelo económico cubano con la política de los lineamientos, le corresponderá al Estado decodificar los paradigmas ambientales y trazar estrategias que permitan alcanzar el desarrollo sostenible como garantía establecida a partir del texto constitucional patrio en su artículo 27.</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el principio de irreversibilidad y el de progresividad, en atención a la relevan</w:t>
      </w:r>
      <w:r>
        <w:rPr>
          <w:rFonts w:cs="Times New Roman"/>
          <w:szCs w:val="24"/>
        </w:rPr>
        <w:t>cia que posee la protección del</w:t>
      </w:r>
      <w:r w:rsidRPr="00E8751B">
        <w:rPr>
          <w:rFonts w:cs="Times New Roman"/>
          <w:szCs w:val="24"/>
        </w:rPr>
        <w:t xml:space="preserve"> ambiente, enriquecedor de los principios jurídicos consagrados en las </w:t>
      </w:r>
      <w:r>
        <w:rPr>
          <w:rFonts w:cs="Times New Roman"/>
          <w:szCs w:val="24"/>
        </w:rPr>
        <w:t>c</w:t>
      </w:r>
      <w:r w:rsidRPr="00E8751B">
        <w:rPr>
          <w:rFonts w:cs="Times New Roman"/>
          <w:szCs w:val="24"/>
        </w:rPr>
        <w:t xml:space="preserve">umbres ambientalistas, el que permite a la organización auditada reconocer el estado en que se encuentra en las acciones protectoras del ambiente y el de progresividad, que se traduce como la evolución sostenida en la protección ambiental por la organización auditada. Principios revisados tras las acciones ejecutadas por parte de los organismos de la administración pública que ejercitan la potestad inspectora desde un enfoque trasversal y con la función auditora por parte del órgano supremo de control en la nación por la Contraloría General de la República.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Todos estos principios ambientales cumplen una función de interpretación, de aplicación y observancia de la normativa jurídica, de integración, cubren los vacíos legislativos, sirven a la vez para renovar la normativa legal, acreditados como la base del derecho ambiental en cumplimiento de las políticas públicas, señalado por autores </w:t>
      </w:r>
      <w:r w:rsidRPr="00187D22">
        <w:rPr>
          <w:rFonts w:cs="Times New Roman"/>
          <w:szCs w:val="24"/>
        </w:rPr>
        <w:t>como Caferrata</w:t>
      </w:r>
      <w:r w:rsidRPr="00187D22">
        <w:rPr>
          <w:rStyle w:val="Refdenotaalpie"/>
          <w:rFonts w:cs="Times New Roman"/>
          <w:szCs w:val="24"/>
        </w:rPr>
        <w:footnoteReference w:id="32"/>
      </w:r>
      <w:r w:rsidRPr="00187D22">
        <w:rPr>
          <w:rFonts w:cs="Times New Roman"/>
          <w:szCs w:val="24"/>
        </w:rPr>
        <w:t>, Lorenzetti</w:t>
      </w:r>
      <w:r w:rsidRPr="00187D22">
        <w:rPr>
          <w:rStyle w:val="Refdenotaalpie"/>
          <w:rFonts w:cs="Times New Roman"/>
          <w:szCs w:val="24"/>
        </w:rPr>
        <w:footnoteReference w:id="33"/>
      </w:r>
      <w:r w:rsidRPr="00187D22">
        <w:rPr>
          <w:rFonts w:cs="Times New Roman"/>
          <w:szCs w:val="24"/>
        </w:rPr>
        <w:t>, Belloti</w:t>
      </w:r>
      <w:r w:rsidRPr="00187D22">
        <w:rPr>
          <w:rStyle w:val="Refdenotaalpie"/>
          <w:rFonts w:cs="Times New Roman"/>
          <w:szCs w:val="24"/>
        </w:rPr>
        <w:footnoteReference w:id="34"/>
      </w:r>
      <w:r>
        <w:rPr>
          <w:rFonts w:cs="Times New Roman"/>
          <w:szCs w:val="24"/>
        </w:rPr>
        <w:t xml:space="preserve"> </w:t>
      </w:r>
      <w:r w:rsidRPr="00187D22">
        <w:rPr>
          <w:rFonts w:cs="Times New Roman"/>
          <w:szCs w:val="24"/>
        </w:rPr>
        <w:t>y Martín Mateo</w:t>
      </w:r>
      <w:r w:rsidRPr="00187D22">
        <w:rPr>
          <w:rStyle w:val="Refdenotaalpie"/>
          <w:rFonts w:cs="Times New Roman"/>
          <w:szCs w:val="24"/>
        </w:rPr>
        <w:footnoteReference w:id="35"/>
      </w:r>
      <w:r w:rsidRPr="00187D22">
        <w:rPr>
          <w:rFonts w:cs="Times New Roman"/>
          <w:szCs w:val="24"/>
        </w:rPr>
        <w:t>, a los que este autor se afilia</w:t>
      </w:r>
      <w:r w:rsidRPr="00E8751B">
        <w:rPr>
          <w:rFonts w:cs="Times New Roman"/>
          <w:szCs w:val="24"/>
        </w:rPr>
        <w:t xml:space="preserve">.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Al tener su tutela</w:t>
      </w:r>
      <w:r>
        <w:rPr>
          <w:rFonts w:cs="Times New Roman"/>
          <w:szCs w:val="24"/>
        </w:rPr>
        <w:t>, la EFS</w:t>
      </w:r>
      <w:r w:rsidRPr="00E8751B">
        <w:rPr>
          <w:rFonts w:cs="Times New Roman"/>
          <w:szCs w:val="24"/>
        </w:rPr>
        <w:t xml:space="preserve"> se vincula su práctica a otras herramientas de gestión y con la RSE</w:t>
      </w:r>
      <w:r>
        <w:rPr>
          <w:rFonts w:cs="Times New Roman"/>
          <w:szCs w:val="24"/>
        </w:rPr>
        <w:t xml:space="preserve"> —ambiental—</w:t>
      </w:r>
      <w:r w:rsidRPr="00E8751B">
        <w:rPr>
          <w:rFonts w:cs="Times New Roman"/>
          <w:szCs w:val="24"/>
        </w:rPr>
        <w:t xml:space="preserve"> como se ha estado ponderando por este autor con la norma ISO 26 000. Ha ido en evolución con la aplicación de otros instrumentos que se le han incorporado desde el pasado siglo, como son las regulaciones y herramientas entre las que se destaca la cobertura financiera a través del seguro ambiental, con la aplicación de incentivos fiscales, la tributación ambiental, las tecnologías limpias y la aplicación de la responsabilidad patrimonial, </w:t>
      </w:r>
      <w:r>
        <w:rPr>
          <w:rFonts w:cs="Times New Roman"/>
          <w:szCs w:val="24"/>
        </w:rPr>
        <w:t>en relación con</w:t>
      </w:r>
      <w:r w:rsidRPr="00E8751B">
        <w:rPr>
          <w:rFonts w:cs="Times New Roman"/>
          <w:szCs w:val="24"/>
        </w:rPr>
        <w:t xml:space="preserve"> los principios del derecho ambiental y de la función auditora ejecutada por la EFS como órgano superior de control.</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Desde el plano jurídico, los criterios de juristas dedicad</w:t>
      </w:r>
      <w:r>
        <w:rPr>
          <w:rFonts w:cs="Times New Roman"/>
          <w:szCs w:val="24"/>
        </w:rPr>
        <w:t>os al estudio de esta rama del d</w:t>
      </w:r>
      <w:r w:rsidRPr="00E8751B">
        <w:rPr>
          <w:rFonts w:cs="Times New Roman"/>
          <w:szCs w:val="24"/>
        </w:rPr>
        <w:t xml:space="preserve">erecho, como </w:t>
      </w:r>
      <w:r w:rsidRPr="00187D22">
        <w:rPr>
          <w:rFonts w:cs="Times New Roman"/>
          <w:szCs w:val="24"/>
        </w:rPr>
        <w:t>Lozano Cutanda</w:t>
      </w:r>
      <w:r w:rsidRPr="00187D22">
        <w:rPr>
          <w:rStyle w:val="Refdenotaalpie"/>
          <w:rFonts w:cs="Times New Roman"/>
          <w:szCs w:val="24"/>
        </w:rPr>
        <w:footnoteReference w:id="36"/>
      </w:r>
      <w:r w:rsidRPr="00187D22">
        <w:rPr>
          <w:rFonts w:cs="Times New Roman"/>
          <w:szCs w:val="24"/>
        </w:rPr>
        <w:t>, Fernández de Gatta Sánchez</w:t>
      </w:r>
      <w:r w:rsidRPr="00187D22">
        <w:rPr>
          <w:rStyle w:val="Refdenotaalpie"/>
          <w:rFonts w:cs="Times New Roman"/>
          <w:szCs w:val="24"/>
        </w:rPr>
        <w:footnoteReference w:id="37"/>
      </w:r>
      <w:r w:rsidRPr="00187D22">
        <w:rPr>
          <w:rFonts w:cs="Times New Roman"/>
          <w:szCs w:val="24"/>
        </w:rPr>
        <w:t xml:space="preserve"> y Sanz Larruga</w:t>
      </w:r>
      <w:r w:rsidRPr="00187D22">
        <w:rPr>
          <w:rStyle w:val="Refdenotaalpie"/>
          <w:rFonts w:cs="Times New Roman"/>
          <w:szCs w:val="24"/>
        </w:rPr>
        <w:footnoteReference w:id="38"/>
      </w:r>
      <w:r w:rsidRPr="00187D22">
        <w:rPr>
          <w:rFonts w:cs="Times New Roman"/>
          <w:szCs w:val="24"/>
        </w:rPr>
        <w:t>,</w:t>
      </w:r>
      <w:r w:rsidRPr="00E8751B">
        <w:rPr>
          <w:rFonts w:cs="Times New Roman"/>
          <w:szCs w:val="24"/>
        </w:rPr>
        <w:t xml:space="preserve"> coinciden que el derecho ambiental como derecho de nueva creación en materia doctrinal y normativa, es dinámico y variable, vinculado a otras ramas del </w:t>
      </w:r>
      <w:r>
        <w:rPr>
          <w:rFonts w:cs="Times New Roman"/>
          <w:szCs w:val="24"/>
        </w:rPr>
        <w:t>d</w:t>
      </w:r>
      <w:r w:rsidRPr="00E8751B">
        <w:rPr>
          <w:rFonts w:cs="Times New Roman"/>
          <w:szCs w:val="24"/>
        </w:rPr>
        <w:t xml:space="preserve">erecho y a otros saberes por su transversalidad, postura a la que este autor se incorpora al estar presente en la práctica de la actividad auditora.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Al respecto, otros autores desde las ciencias jurídicas en América Latina como </w:t>
      </w:r>
      <w:r w:rsidRPr="00187D22">
        <w:rPr>
          <w:rFonts w:cs="Times New Roman"/>
          <w:szCs w:val="24"/>
        </w:rPr>
        <w:t>Botassi</w:t>
      </w:r>
      <w:r w:rsidRPr="00187D22">
        <w:rPr>
          <w:rStyle w:val="Refdenotaalpie"/>
          <w:rFonts w:cs="Times New Roman"/>
          <w:szCs w:val="24"/>
        </w:rPr>
        <w:footnoteReference w:id="39"/>
      </w:r>
      <w:r w:rsidRPr="00187D22">
        <w:rPr>
          <w:rFonts w:cs="Times New Roman"/>
          <w:szCs w:val="24"/>
        </w:rPr>
        <w:t xml:space="preserve"> y De Besa Antunes</w:t>
      </w:r>
      <w:r w:rsidRPr="00187D22">
        <w:rPr>
          <w:rStyle w:val="Refdenotaalpie"/>
          <w:rFonts w:cs="Times New Roman"/>
          <w:szCs w:val="24"/>
        </w:rPr>
        <w:footnoteReference w:id="40"/>
      </w:r>
      <w:r w:rsidRPr="00187D22">
        <w:rPr>
          <w:rFonts w:cs="Times New Roman"/>
          <w:szCs w:val="24"/>
        </w:rPr>
        <w:t>,</w:t>
      </w:r>
      <w:r w:rsidRPr="00E8751B">
        <w:rPr>
          <w:rFonts w:cs="Times New Roman"/>
          <w:szCs w:val="24"/>
        </w:rPr>
        <w:t xml:space="preserve"> consideran que esta rama del derecho ambiental ha entrado a resolver la cuestión de la contaminación al exigir la responsabilidad ambiental; se ha regulado en leyes como la de crimen ambiental, responsabilidad ambiental, protección forestal, contaminación ambiental, cambio climático y de la auditoría ambiental, relacionadas con el daño ambiental y su cuantificación contable; con los incentivos fiscales, la tributación ambiental y la cobertura financiera por la póliza ambiental. Reconocen su vínculo con otras ramas de las ciencias jurídicas y con otras ciencias como la ecología, la contabilidad, la sociología, la psicología ambiental, la historia, las ciencias ambientales, la bi</w:t>
      </w:r>
      <w:r>
        <w:rPr>
          <w:rFonts w:cs="Times New Roman"/>
          <w:szCs w:val="24"/>
        </w:rPr>
        <w:t>otecnología ambiental, las TIC</w:t>
      </w:r>
      <w:r w:rsidRPr="00E8751B">
        <w:rPr>
          <w:rFonts w:cs="Times New Roman"/>
          <w:szCs w:val="24"/>
        </w:rPr>
        <w:t xml:space="preserve">, la geografía, la geología y la economía. </w:t>
      </w:r>
    </w:p>
    <w:p w:rsidR="002204E0" w:rsidRPr="00E8751B" w:rsidRDefault="002204E0" w:rsidP="002204E0">
      <w:pPr>
        <w:spacing w:line="360" w:lineRule="auto"/>
        <w:ind w:left="-142" w:right="-144"/>
        <w:contextualSpacing/>
        <w:rPr>
          <w:rFonts w:cs="Times New Roman"/>
          <w:szCs w:val="24"/>
        </w:rPr>
      </w:pPr>
    </w:p>
    <w:p w:rsidR="002204E0" w:rsidRPr="00187D22"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 xml:space="preserve">Autores cubanos de la talla de </w:t>
      </w:r>
      <w:r w:rsidRPr="00187D22">
        <w:rPr>
          <w:rFonts w:cs="Times New Roman"/>
          <w:szCs w:val="24"/>
        </w:rPr>
        <w:t>Caraballo Maqueira</w:t>
      </w:r>
      <w:r w:rsidRPr="00187D22">
        <w:rPr>
          <w:rStyle w:val="Refdenotaalpie"/>
          <w:rFonts w:cs="Times New Roman"/>
          <w:szCs w:val="24"/>
        </w:rPr>
        <w:footnoteReference w:id="41"/>
      </w:r>
      <w:r w:rsidRPr="00187D22">
        <w:rPr>
          <w:rFonts w:cs="Times New Roman"/>
          <w:szCs w:val="24"/>
        </w:rPr>
        <w:t>, Rey Santos</w:t>
      </w:r>
      <w:r w:rsidRPr="00187D22">
        <w:rPr>
          <w:rStyle w:val="Refdenotaalpie"/>
          <w:rFonts w:cs="Times New Roman"/>
          <w:szCs w:val="24"/>
        </w:rPr>
        <w:footnoteReference w:id="42"/>
      </w:r>
      <w:r w:rsidRPr="00187D22">
        <w:rPr>
          <w:rFonts w:cs="Times New Roman"/>
          <w:szCs w:val="24"/>
        </w:rPr>
        <w:t>, Cánovas González</w:t>
      </w:r>
      <w:r w:rsidRPr="00187D22">
        <w:rPr>
          <w:rStyle w:val="Refdenotaalpie"/>
          <w:rFonts w:cs="Times New Roman"/>
          <w:szCs w:val="24"/>
        </w:rPr>
        <w:footnoteReference w:id="43"/>
      </w:r>
      <w:r w:rsidRPr="00187D22">
        <w:rPr>
          <w:rFonts w:cs="Times New Roman"/>
          <w:szCs w:val="24"/>
        </w:rPr>
        <w:t>, señalan la necesidad de que sea completado el marco jurídico ambiental en aquellas áreas en que se tienen identificados los vacíos legislativos en la nación cubana. Significan la importancia de ejecutar una revisión y modificación donde se cons</w:t>
      </w:r>
      <w:r>
        <w:rPr>
          <w:rFonts w:cs="Times New Roman"/>
          <w:szCs w:val="24"/>
        </w:rPr>
        <w:t>idere a la legislación vigente —civil y penal—</w:t>
      </w:r>
      <w:r w:rsidRPr="00187D22">
        <w:rPr>
          <w:rFonts w:cs="Times New Roman"/>
          <w:szCs w:val="24"/>
        </w:rPr>
        <w:t xml:space="preserve"> en vigor. Y que sea incrementada mucho más la divulgación y uso de los instrumentos legales en materia ambiental por la administración pública para contribuir a la consolidación y armonía entre la normativa ambiental con el resto del ordenamiento jurídico. </w:t>
      </w:r>
    </w:p>
    <w:p w:rsidR="002204E0" w:rsidRPr="00187D22"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187D22">
        <w:rPr>
          <w:rFonts w:cs="Times New Roman"/>
          <w:szCs w:val="24"/>
        </w:rPr>
        <w:t>Antúnez Sánchez</w:t>
      </w:r>
      <w:r w:rsidRPr="00187D22">
        <w:rPr>
          <w:rStyle w:val="Refdenotaalpie"/>
          <w:rFonts w:cs="Times New Roman"/>
          <w:szCs w:val="24"/>
        </w:rPr>
        <w:footnoteReference w:id="44"/>
      </w:r>
      <w:r w:rsidRPr="00187D22">
        <w:rPr>
          <w:rFonts w:cs="Times New Roman"/>
          <w:szCs w:val="24"/>
        </w:rPr>
        <w:t xml:space="preserve"> valora que todo ello permitirá que este tipo de control</w:t>
      </w:r>
      <w:r>
        <w:rPr>
          <w:rFonts w:cs="Times New Roman"/>
          <w:szCs w:val="24"/>
        </w:rPr>
        <w:t>,</w:t>
      </w:r>
      <w:r w:rsidRPr="00187D22">
        <w:rPr>
          <w:rFonts w:cs="Times New Roman"/>
          <w:szCs w:val="24"/>
        </w:rPr>
        <w:t xml:space="preserve"> al ser aplicado a las formas de gestión, tenga ventajas en su aplicación, las que a criterio de este autor parten de la observancia de los principios de pr</w:t>
      </w:r>
      <w:r>
        <w:rPr>
          <w:rFonts w:cs="Times New Roman"/>
          <w:szCs w:val="24"/>
        </w:rPr>
        <w:t>ecaución y prevención desde el derecho a</w:t>
      </w:r>
      <w:r w:rsidRPr="00187D22">
        <w:rPr>
          <w:rFonts w:cs="Times New Roman"/>
          <w:szCs w:val="24"/>
        </w:rPr>
        <w:t>mbiental con un adecuado autocontrol en la organización auditada, le permite a los empresarios promocionar una adecuada gestión ambiental interna dentro de las formas de gestión, direccionar estratégicamente la actividad productiva hacia formas más eficientes y competitivas, implementar los SGA, el uso de tecnologías limpias no contaminadoras, la aplicación de la contabilidad ambiental para controlar el uso d</w:t>
      </w:r>
      <w:r w:rsidRPr="00E8751B">
        <w:rPr>
          <w:rFonts w:cs="Times New Roman"/>
          <w:szCs w:val="24"/>
        </w:rPr>
        <w:t xml:space="preserve">el presupuesto asignado y la obediencia a la legislación; todas, les permiten a </w:t>
      </w:r>
      <w:r>
        <w:rPr>
          <w:rFonts w:cs="Times New Roman"/>
          <w:szCs w:val="24"/>
        </w:rPr>
        <w:t>éstos</w:t>
      </w:r>
      <w:r w:rsidRPr="00E8751B">
        <w:rPr>
          <w:rFonts w:cs="Times New Roman"/>
          <w:szCs w:val="24"/>
        </w:rPr>
        <w:t xml:space="preserve"> acceder a la cobertura financiera con la póliza ambiental con empresas amigable con el ambiente ante posibles acciones riesgosas al ambiente y con ello recomponer el daño causado a la naturaleza.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Sus limitantes consideramos estarían identificadas con la obsolescencia tecnológica, los elevados costes de las tecnologías limpias, la heterogeneidad industrial en un país atrasado en más de 55 años en el desarrollo de la industria del sector estatal. Como causas negativas se considera están circunscritas a ser em</w:t>
      </w:r>
      <w:r>
        <w:rPr>
          <w:rFonts w:cs="Times New Roman"/>
          <w:szCs w:val="24"/>
        </w:rPr>
        <w:t xml:space="preserve">presas contaminadoras del </w:t>
      </w:r>
      <w:r w:rsidRPr="00E8751B">
        <w:rPr>
          <w:rFonts w:cs="Times New Roman"/>
          <w:szCs w:val="24"/>
        </w:rPr>
        <w:t xml:space="preserve">ambiente, los costes elevados del contrato de este tipo de auditoría, los valores elevados de las tecnologías limpias en su adquisición e implementación. Impedirán obtener a los empresarios la etiqueta-certificación ambiental incompatible con el desarrollo sostenible al no estar concientizados de manera adecuada con la problemática ambiental y en cómo promover acciones positivas para resolverlas y mitigarlas.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Aunque la normativa vigente en materia de auditoría pública</w:t>
      </w:r>
      <w:r>
        <w:rPr>
          <w:rFonts w:cs="Times New Roman"/>
          <w:szCs w:val="24"/>
        </w:rPr>
        <w:t xml:space="preserve"> no concluya con la entrega de é</w:t>
      </w:r>
      <w:r w:rsidRPr="00E8751B">
        <w:rPr>
          <w:rFonts w:cs="Times New Roman"/>
          <w:szCs w:val="24"/>
        </w:rPr>
        <w:t xml:space="preserve">sta, </w:t>
      </w:r>
      <w:r>
        <w:rPr>
          <w:rFonts w:cs="Times New Roman"/>
          <w:szCs w:val="24"/>
        </w:rPr>
        <w:t>imposibilitaría concretar la fó</w:t>
      </w:r>
      <w:r w:rsidRPr="00E8751B">
        <w:rPr>
          <w:rFonts w:cs="Times New Roman"/>
          <w:szCs w:val="24"/>
        </w:rPr>
        <w:t>rmula</w:t>
      </w:r>
      <w:r w:rsidRPr="00E8751B">
        <w:rPr>
          <w:szCs w:val="24"/>
        </w:rPr>
        <w:t xml:space="preserve"> </w:t>
      </w:r>
      <w:r w:rsidRPr="00E8751B">
        <w:rPr>
          <w:rFonts w:cs="Times New Roman"/>
          <w:szCs w:val="24"/>
        </w:rPr>
        <w:t>In</w:t>
      </w:r>
      <w:r>
        <w:rPr>
          <w:rFonts w:cs="Times New Roman"/>
          <w:szCs w:val="24"/>
        </w:rPr>
        <w:t>vestigación+Desarrollo+Comercio</w:t>
      </w:r>
      <w:r w:rsidRPr="00E8751B">
        <w:rPr>
          <w:rFonts w:cs="Times New Roman"/>
          <w:szCs w:val="24"/>
        </w:rPr>
        <w:t>+ Etiqueta ambiental (EA)</w:t>
      </w:r>
      <w:r>
        <w:rPr>
          <w:rFonts w:cs="Times New Roman"/>
          <w:szCs w:val="24"/>
        </w:rPr>
        <w:t>,</w:t>
      </w:r>
      <w:r w:rsidRPr="00E8751B">
        <w:rPr>
          <w:rFonts w:cs="Times New Roman"/>
          <w:szCs w:val="24"/>
        </w:rPr>
        <w:t xml:space="preserve"> como garantía del desarrollo sostenible resultaría entonces: I+D+C+ EA. Empero todo esto redundaría que la forma de gestión sería entonces una e</w:t>
      </w:r>
      <w:r>
        <w:rPr>
          <w:rFonts w:cs="Times New Roman"/>
          <w:szCs w:val="24"/>
        </w:rPr>
        <w:t>mpresa amigable con el ambiente I+D+C+EA=</w:t>
      </w:r>
      <w:r w:rsidRPr="00E8751B">
        <w:rPr>
          <w:rFonts w:cs="Times New Roman"/>
          <w:szCs w:val="24"/>
        </w:rPr>
        <w:t>ERA (Empresa Responsable con el Ambiente) en la nación cubana al implementarse la Responsabilidad Social Empresarial en el ordenamiento jurídico interno como parte de la política pública patria, hoy no reconocida de forma tácita.</w:t>
      </w:r>
      <w:r>
        <w:rPr>
          <w:rFonts w:cs="Times New Roman"/>
          <w:szCs w:val="24"/>
          <w:highlight w:val="yellow"/>
        </w:rPr>
        <w:t xml:space="preser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Por ello, la justificación de realizar esta actividad de control al ambiente se justiprecia</w:t>
      </w:r>
      <w:r>
        <w:rPr>
          <w:rFonts w:cs="Times New Roman"/>
          <w:szCs w:val="24"/>
        </w:rPr>
        <w:t>,</w:t>
      </w:r>
      <w:r w:rsidRPr="00E8751B">
        <w:rPr>
          <w:rFonts w:cs="Times New Roman"/>
          <w:szCs w:val="24"/>
        </w:rPr>
        <w:t xml:space="preserve"> recaerá en la importancia de practicarla por los empresarios a sus empresas a partir de ejecutar un adecuado control interno sistemático, en atención a los temas ambientales como parte de la política ambiental y la responsabilidad empresarial ambiental para dar respuestas adecuadas a los Convenios y Acuerdos establecidos por la EFS, la de la auditoría y en especial de la auditoría ambiental introducidas en los derechos internos, vinculados a los acuerdos ambientales de los bloques comerciales UNASUR, MERCOSUR, ALBA-TCP, CELAC, UNION EUROPEA y de</w:t>
      </w:r>
      <w:r>
        <w:rPr>
          <w:rFonts w:cs="Times New Roman"/>
          <w:szCs w:val="24"/>
        </w:rPr>
        <w:t xml:space="preserve"> los t</w:t>
      </w:r>
      <w:r w:rsidRPr="00E8751B">
        <w:rPr>
          <w:rFonts w:cs="Times New Roman"/>
          <w:szCs w:val="24"/>
        </w:rPr>
        <w:t>ratados ambientales como la Agend</w:t>
      </w:r>
      <w:r>
        <w:rPr>
          <w:rFonts w:cs="Times New Roman"/>
          <w:szCs w:val="24"/>
        </w:rPr>
        <w:t>a 21, el Protocolo de Montreal —capa de ozono—</w:t>
      </w:r>
      <w:r w:rsidRPr="00E8751B">
        <w:rPr>
          <w:rFonts w:cs="Times New Roman"/>
          <w:szCs w:val="24"/>
        </w:rPr>
        <w:t xml:space="preserve"> y la Convención sobre la Diversidad Biológica. Sus efectos será</w:t>
      </w:r>
      <w:r>
        <w:rPr>
          <w:rFonts w:cs="Times New Roman"/>
          <w:szCs w:val="24"/>
        </w:rPr>
        <w:t>n</w:t>
      </w:r>
      <w:r w:rsidRPr="00E8751B">
        <w:rPr>
          <w:rFonts w:cs="Times New Roman"/>
          <w:szCs w:val="24"/>
        </w:rPr>
        <w:t xml:space="preserve"> lograr empresas amigables con el ambiente, por lo que los empresarios tendrán que aplicar estrategias para reducir los niveles de contaminación, ahorrar energía</w:t>
      </w:r>
      <w:r>
        <w:rPr>
          <w:rFonts w:cs="Times New Roman"/>
          <w:szCs w:val="24"/>
        </w:rPr>
        <w:t xml:space="preserve"> y materias primas</w:t>
      </w:r>
      <w:r w:rsidRPr="00E8751B">
        <w:rPr>
          <w:rFonts w:cs="Times New Roman"/>
          <w:szCs w:val="24"/>
        </w:rPr>
        <w:t>, utilizar las tecnologías limpias, aplicar las técnicas de reciclaje, la reingeniería empresarial y</w:t>
      </w:r>
      <w:r>
        <w:rPr>
          <w:rFonts w:cs="Times New Roman"/>
          <w:szCs w:val="24"/>
        </w:rPr>
        <w:t xml:space="preserve"> realizar alianzas estratégicas,</w:t>
      </w:r>
      <w:r w:rsidRPr="00E8751B">
        <w:rPr>
          <w:rFonts w:cs="Times New Roman"/>
          <w:szCs w:val="24"/>
        </w:rPr>
        <w:t xml:space="preserve"> donde la auditoría ambiental juega un rol privilegiado, </w:t>
      </w:r>
      <w:r>
        <w:rPr>
          <w:rFonts w:cs="Times New Roman"/>
          <w:szCs w:val="24"/>
        </w:rPr>
        <w:t>no utilizada por la mayoría de é</w:t>
      </w:r>
      <w:r w:rsidRPr="00E8751B">
        <w:rPr>
          <w:rFonts w:cs="Times New Roman"/>
          <w:szCs w:val="24"/>
        </w:rPr>
        <w:t xml:space="preserve">stas. </w:t>
      </w:r>
    </w:p>
    <w:p w:rsidR="002204E0" w:rsidRPr="00E8751B" w:rsidRDefault="002204E0" w:rsidP="002204E0">
      <w:pPr>
        <w:spacing w:line="360" w:lineRule="auto"/>
        <w:ind w:left="-142" w:right="-144"/>
        <w:contextualSpacing/>
        <w:rPr>
          <w:rFonts w:cs="Times New Roman"/>
          <w:b/>
          <w:smallCaps/>
          <w:szCs w:val="24"/>
        </w:rPr>
      </w:pPr>
    </w:p>
    <w:p w:rsidR="002204E0" w:rsidRPr="00E8751B" w:rsidRDefault="002204E0" w:rsidP="002204E0">
      <w:pPr>
        <w:spacing w:line="360" w:lineRule="auto"/>
        <w:ind w:left="-142" w:right="-144"/>
        <w:contextualSpacing/>
        <w:rPr>
          <w:rFonts w:cs="Times New Roman"/>
          <w:b/>
          <w:smallCaps/>
          <w:szCs w:val="24"/>
        </w:rPr>
      </w:pPr>
      <w:r>
        <w:rPr>
          <w:rFonts w:cs="Times New Roman"/>
          <w:b/>
          <w:smallCaps/>
          <w:szCs w:val="24"/>
        </w:rPr>
        <w:t>IV</w:t>
      </w:r>
      <w:r w:rsidRPr="00E8751B">
        <w:rPr>
          <w:rFonts w:cs="Times New Roman"/>
          <w:b/>
          <w:smallCaps/>
          <w:szCs w:val="24"/>
        </w:rPr>
        <w:t xml:space="preserve">. </w:t>
      </w:r>
      <w:r w:rsidRPr="00E8751B">
        <w:rPr>
          <w:rFonts w:cs="Times New Roman"/>
          <w:b/>
          <w:szCs w:val="24"/>
        </w:rPr>
        <w:t>La Entidad Fiscalizadora Superior en el control con enfoque ambiental en las formas de gestión del sector estatal cubano</w:t>
      </w:r>
    </w:p>
    <w:p w:rsidR="002204E0" w:rsidRPr="00E8751B" w:rsidRDefault="002204E0" w:rsidP="002204E0">
      <w:pPr>
        <w:spacing w:line="360" w:lineRule="auto"/>
        <w:ind w:left="-142" w:right="-144"/>
        <w:contextualSpacing/>
        <w:rPr>
          <w:rFonts w:cs="Times New Roman"/>
          <w:b/>
          <w:smallCaps/>
          <w:szCs w:val="24"/>
        </w:rPr>
      </w:pPr>
    </w:p>
    <w:p w:rsidR="002204E0" w:rsidRPr="00E8751B" w:rsidRDefault="002204E0" w:rsidP="002204E0">
      <w:pPr>
        <w:spacing w:line="360" w:lineRule="auto"/>
        <w:ind w:left="-142" w:right="-144"/>
        <w:contextualSpacing/>
        <w:rPr>
          <w:rFonts w:cs="Times New Roman"/>
          <w:szCs w:val="24"/>
        </w:rPr>
      </w:pPr>
      <w:r>
        <w:rPr>
          <w:rFonts w:cs="Times New Roman"/>
          <w:szCs w:val="24"/>
        </w:rPr>
        <w:t xml:space="preserve">       </w:t>
      </w:r>
      <w:r w:rsidRPr="002B0522">
        <w:rPr>
          <w:rFonts w:cs="Times New Roman"/>
          <w:szCs w:val="24"/>
        </w:rPr>
        <w:t>Padin</w:t>
      </w:r>
      <w:r w:rsidRPr="002B0522">
        <w:rPr>
          <w:rStyle w:val="Refdenotaalpie"/>
          <w:rFonts w:cs="Times New Roman"/>
          <w:szCs w:val="24"/>
        </w:rPr>
        <w:footnoteReference w:id="45"/>
      </w:r>
      <w:r>
        <w:rPr>
          <w:rFonts w:cs="Times New Roman"/>
          <w:szCs w:val="24"/>
        </w:rPr>
        <w:t xml:space="preserve"> es del criterio de</w:t>
      </w:r>
      <w:r w:rsidRPr="00E8751B">
        <w:rPr>
          <w:rFonts w:cs="Times New Roman"/>
          <w:szCs w:val="24"/>
        </w:rPr>
        <w:t xml:space="preserve"> que este tipo de auditoría es practicada en dependencia de las condiciones que la enmarquen, de los objetivos específicos que la motivan y del nivel de desarrollo que la organización empresarial a auditarse; comparte un objetivo común, entregar información documentada y validada sobre diferentes aspectos de la situación ambiental de la entidad auditada al identificarse los riesgos e impactos </w:t>
      </w:r>
      <w:r w:rsidRPr="00E8751B">
        <w:rPr>
          <w:rFonts w:cs="Times New Roman"/>
          <w:szCs w:val="24"/>
        </w:rPr>
        <w:lastRenderedPageBreak/>
        <w:t xml:space="preserve">asociados, el examen y la evaluación de las prácticas existentes para mejorar el desempeño ambiental, permite comprobar el respeto a la legislación y los estándares ambientales de relevancia. </w:t>
      </w:r>
    </w:p>
    <w:p w:rsidR="002204E0" w:rsidRPr="00E8751B" w:rsidRDefault="002204E0" w:rsidP="002204E0">
      <w:pPr>
        <w:spacing w:line="360" w:lineRule="auto"/>
        <w:ind w:left="-142" w:right="-144"/>
        <w:contextualSpacing/>
        <w:rPr>
          <w:rFonts w:cs="Times New Roman"/>
          <w:szCs w:val="24"/>
        </w:rPr>
      </w:pPr>
    </w:p>
    <w:p w:rsidR="002204E0" w:rsidRPr="00A425B8" w:rsidRDefault="002204E0" w:rsidP="002204E0">
      <w:pPr>
        <w:spacing w:line="360" w:lineRule="auto"/>
        <w:ind w:left="-142" w:right="-144"/>
        <w:contextualSpacing/>
        <w:rPr>
          <w:rFonts w:cs="Times New Roman"/>
          <w:szCs w:val="24"/>
        </w:rPr>
      </w:pPr>
      <w:r>
        <w:rPr>
          <w:rFonts w:cs="Times New Roman"/>
          <w:szCs w:val="24"/>
        </w:rPr>
        <w:t xml:space="preserve">        </w:t>
      </w:r>
      <w:r w:rsidRPr="00E8751B">
        <w:rPr>
          <w:rFonts w:cs="Times New Roman"/>
          <w:szCs w:val="24"/>
        </w:rPr>
        <w:t xml:space="preserve"> Las reformas energéticas y de los recursos naturales que se realizan en América Latina y el Caribe en los sectores de la economía, la salud, la ciudadanía y el ambiente tributan a la ejecución de políticas sostenibles. Permitirán conocer al auditor, el grado de economía, eficiencia y eficacia, la calidad e impacto en la planificación, el control y el uso de los recursos naturales, la conservación y la protección ambiental, como características fundamentales en todo este proceso de planeación y práctica de esta actividad de control ambiental, al consentir la cobertura financiera mediante la póliza ambiental, al decir de autores como </w:t>
      </w:r>
      <w:r w:rsidRPr="00A425B8">
        <w:rPr>
          <w:rFonts w:cs="Times New Roman"/>
          <w:szCs w:val="24"/>
        </w:rPr>
        <w:t>Viguri Perea</w:t>
      </w:r>
      <w:r w:rsidRPr="00A425B8">
        <w:rPr>
          <w:rStyle w:val="Refdenotaalpie"/>
          <w:rFonts w:cs="Times New Roman"/>
          <w:szCs w:val="24"/>
        </w:rPr>
        <w:footnoteReference w:id="46"/>
      </w:r>
      <w:r w:rsidRPr="00A425B8">
        <w:rPr>
          <w:rFonts w:cs="Times New Roman"/>
          <w:szCs w:val="24"/>
        </w:rPr>
        <w:t>, Cabeza Ares</w:t>
      </w:r>
      <w:r w:rsidRPr="00A425B8">
        <w:rPr>
          <w:rStyle w:val="Refdenotaalpie"/>
          <w:rFonts w:cs="Times New Roman"/>
          <w:szCs w:val="24"/>
        </w:rPr>
        <w:footnoteReference w:id="47"/>
      </w:r>
      <w:r w:rsidRPr="00A425B8">
        <w:rPr>
          <w:rFonts w:cs="Times New Roman"/>
          <w:szCs w:val="24"/>
        </w:rPr>
        <w:t>, Antúnez Sánchez</w:t>
      </w:r>
      <w:r w:rsidRPr="00A425B8">
        <w:rPr>
          <w:rStyle w:val="Refdenotaalpie"/>
          <w:rFonts w:cs="Times New Roman"/>
          <w:szCs w:val="24"/>
        </w:rPr>
        <w:footnoteReference w:id="48"/>
      </w:r>
      <w:r w:rsidRPr="00A425B8">
        <w:rPr>
          <w:rFonts w:cs="Times New Roman"/>
          <w:szCs w:val="24"/>
        </w:rPr>
        <w:t xml:space="preserve"> y Lorenzetti</w:t>
      </w:r>
      <w:r w:rsidR="00D95EE4">
        <w:rPr>
          <w:rFonts w:cs="Times New Roman"/>
          <w:szCs w:val="24"/>
        </w:rPr>
        <w:t>.</w:t>
      </w:r>
      <w:r w:rsidRPr="00A425B8">
        <w:rPr>
          <w:rStyle w:val="Refdenotaalpie"/>
          <w:rFonts w:cs="Times New Roman"/>
          <w:szCs w:val="24"/>
        </w:rPr>
        <w:footnoteReference w:id="49"/>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En este sector público del sector estatal cubano son practicadas otras tipologías de auditorías como la financiera, la de gestión y la de cumplimiento, realizadas por la EFS, abordan en sus programas cuestiones relacionadas con la protección ambiental, los recursos naturales y el desarrollo sostenible, vinculadas al control público que ejecuta la administración pública, realizadas desde la etapa de la institucionalización por parte de la Oficina Nacional de Auditoría y el Ministerio de Auditoría y Control antes de la creación de la Contraloría de la República en la nación cubana. La multidimensionalidad de la auditoría ambiental, al estar integrada como proceso sistémico, procedimiento, herramienta de gestión y actividad administrativa permite aunar el esfuerzo de profesionales en el rol de auditor, como jurista, técnico o científico dentro de la EFS.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En todo este panorama jurídico, se confirma que para lograr empresas amigables con el ambiente será necesario cumplimentar las políticas, principios y regulaciones que desde el derecho ambiental y otras disciplinas, saberes y ciencias</w:t>
      </w:r>
      <w:r>
        <w:rPr>
          <w:rFonts w:cs="Times New Roman"/>
          <w:szCs w:val="24"/>
        </w:rPr>
        <w:t>,</w:t>
      </w:r>
      <w:r w:rsidRPr="00E8751B">
        <w:rPr>
          <w:rFonts w:cs="Times New Roman"/>
          <w:szCs w:val="24"/>
        </w:rPr>
        <w:t xml:space="preserve"> guardan relación con la práctica de la auditoría ambiental; regulada esencialmente por la INTOSAI en los ordenamientos regionales e internos combinados con las políticas públicas en materia ambiental. </w:t>
      </w:r>
    </w:p>
    <w:p w:rsidR="002204E0" w:rsidRPr="00E8751B" w:rsidRDefault="002204E0" w:rsidP="002204E0">
      <w:pPr>
        <w:spacing w:line="360" w:lineRule="auto"/>
        <w:ind w:left="-142" w:right="-144"/>
        <w:contextualSpacing/>
        <w:rPr>
          <w:rFonts w:cs="Times New Roman"/>
          <w:szCs w:val="24"/>
        </w:rPr>
      </w:pPr>
    </w:p>
    <w:p w:rsidR="002204E0" w:rsidRPr="00087354" w:rsidRDefault="002204E0" w:rsidP="002204E0">
      <w:pPr>
        <w:spacing w:line="360" w:lineRule="auto"/>
        <w:ind w:left="-142" w:right="-144" w:firstLine="850"/>
        <w:contextualSpacing/>
        <w:rPr>
          <w:rFonts w:cs="Times New Roman"/>
          <w:szCs w:val="24"/>
        </w:rPr>
      </w:pPr>
      <w:r w:rsidRPr="00087354">
        <w:rPr>
          <w:rFonts w:cs="Times New Roman"/>
          <w:szCs w:val="24"/>
        </w:rPr>
        <w:t>Al respecto, trabajos ci</w:t>
      </w:r>
      <w:r>
        <w:rPr>
          <w:rFonts w:cs="Times New Roman"/>
          <w:szCs w:val="24"/>
        </w:rPr>
        <w:t>entíficos desde la ciencia del d</w:t>
      </w:r>
      <w:r w:rsidRPr="00087354">
        <w:rPr>
          <w:rFonts w:cs="Times New Roman"/>
          <w:szCs w:val="24"/>
        </w:rPr>
        <w:t>erecho</w:t>
      </w:r>
      <w:r>
        <w:rPr>
          <w:rFonts w:cs="Times New Roman"/>
          <w:szCs w:val="24"/>
        </w:rPr>
        <w:t>,</w:t>
      </w:r>
      <w:r w:rsidRPr="00087354">
        <w:rPr>
          <w:rFonts w:cs="Times New Roman"/>
          <w:szCs w:val="24"/>
        </w:rPr>
        <w:t xml:space="preserve"> de autores como Fernández de Gatta Sánchez</w:t>
      </w:r>
      <w:r w:rsidRPr="00087354">
        <w:rPr>
          <w:rStyle w:val="Refdenotaalpie"/>
          <w:rFonts w:cs="Times New Roman"/>
          <w:szCs w:val="24"/>
        </w:rPr>
        <w:footnoteReference w:id="50"/>
      </w:r>
      <w:r w:rsidRPr="00087354">
        <w:rPr>
          <w:rFonts w:cs="Times New Roman"/>
          <w:szCs w:val="24"/>
        </w:rPr>
        <w:t>, Sanz Rubials</w:t>
      </w:r>
      <w:r w:rsidR="00D95EE4">
        <w:rPr>
          <w:rFonts w:cs="Times New Roman"/>
          <w:szCs w:val="24"/>
        </w:rPr>
        <w:t>,</w:t>
      </w:r>
      <w:r w:rsidRPr="00087354">
        <w:rPr>
          <w:rStyle w:val="Refdenotaalpie"/>
          <w:rFonts w:cs="Times New Roman"/>
          <w:szCs w:val="24"/>
        </w:rPr>
        <w:footnoteReference w:id="51"/>
      </w:r>
      <w:r w:rsidRPr="00087354">
        <w:rPr>
          <w:rFonts w:cs="Times New Roman"/>
          <w:szCs w:val="24"/>
        </w:rPr>
        <w:t xml:space="preserve"> Lozano Cutanda</w:t>
      </w:r>
      <w:r w:rsidRPr="00087354">
        <w:rPr>
          <w:rStyle w:val="Refdenotaalpie"/>
          <w:rFonts w:cs="Times New Roman"/>
          <w:szCs w:val="24"/>
        </w:rPr>
        <w:footnoteReference w:id="52"/>
      </w:r>
      <w:r w:rsidRPr="00087354">
        <w:rPr>
          <w:rFonts w:cs="Times New Roman"/>
          <w:szCs w:val="24"/>
        </w:rPr>
        <w:t xml:space="preserve"> y Martín Mateo</w:t>
      </w:r>
      <w:r w:rsidRPr="00087354">
        <w:rPr>
          <w:rStyle w:val="Refdenotaalpie"/>
          <w:rFonts w:cs="Times New Roman"/>
          <w:szCs w:val="24"/>
        </w:rPr>
        <w:footnoteReference w:id="53"/>
      </w:r>
      <w:r>
        <w:rPr>
          <w:rFonts w:cs="Times New Roman"/>
          <w:szCs w:val="24"/>
        </w:rPr>
        <w:t>, abordan có</w:t>
      </w:r>
      <w:r w:rsidRPr="00087354">
        <w:rPr>
          <w:rFonts w:cs="Times New Roman"/>
          <w:szCs w:val="24"/>
        </w:rPr>
        <w:t xml:space="preserve">mo ha sido tratada dentro de los ordenamientos jurídicos de Iberoamérica esta tipología de auditoría, reconocida como el instrumento y herramienta de gestión ambiental, el tratamiento que se le ha dado en las leyes marco ambientales y en </w:t>
      </w:r>
      <w:r>
        <w:rPr>
          <w:rFonts w:cs="Times New Roman"/>
          <w:szCs w:val="24"/>
        </w:rPr>
        <w:t>las leyes de auditoría pública —ambiental—</w:t>
      </w:r>
      <w:r w:rsidRPr="00087354">
        <w:rPr>
          <w:rFonts w:cs="Times New Roman"/>
          <w:szCs w:val="24"/>
        </w:rPr>
        <w:t>, coinciden en regularla entre los modos de actuación de la administración pública,</w:t>
      </w:r>
      <w:r>
        <w:rPr>
          <w:rFonts w:cs="Times New Roman"/>
          <w:szCs w:val="24"/>
        </w:rPr>
        <w:t xml:space="preserve"> como una actividad de control —</w:t>
      </w:r>
      <w:r w:rsidRPr="00087354">
        <w:rPr>
          <w:rFonts w:cs="Times New Roman"/>
          <w:szCs w:val="24"/>
        </w:rPr>
        <w:t>l</w:t>
      </w:r>
      <w:r>
        <w:rPr>
          <w:rFonts w:cs="Times New Roman"/>
          <w:szCs w:val="24"/>
        </w:rPr>
        <w:t>imitación, ordenación o policía—</w:t>
      </w:r>
      <w:r w:rsidRPr="00087354">
        <w:rPr>
          <w:rFonts w:cs="Times New Roman"/>
          <w:szCs w:val="24"/>
        </w:rPr>
        <w:t xml:space="preserve">, prestación de servicio público y fomento, donde se exige la responsabilidad objetiva a través en fiscalías especializadas en la materia ambiental y al concluir la </w:t>
      </w:r>
      <w:r w:rsidRPr="00087354">
        <w:rPr>
          <w:rFonts w:cs="Times New Roman"/>
          <w:i/>
          <w:szCs w:val="24"/>
        </w:rPr>
        <w:t>litis</w:t>
      </w:r>
      <w:r w:rsidRPr="00087354">
        <w:rPr>
          <w:rFonts w:cs="Times New Roman"/>
          <w:szCs w:val="24"/>
        </w:rPr>
        <w:t xml:space="preserve"> se ejecuta en sede judicial en materia ambiental. </w:t>
      </w:r>
    </w:p>
    <w:p w:rsidR="002204E0" w:rsidRPr="00087354" w:rsidRDefault="002204E0" w:rsidP="002204E0">
      <w:pPr>
        <w:spacing w:line="360" w:lineRule="auto"/>
        <w:ind w:left="-142" w:right="-144"/>
        <w:contextualSpacing/>
        <w:rPr>
          <w:rFonts w:cs="Times New Roman"/>
          <w:szCs w:val="24"/>
        </w:rPr>
      </w:pPr>
    </w:p>
    <w:p w:rsidR="002204E0" w:rsidRPr="00087354" w:rsidRDefault="002204E0" w:rsidP="002204E0">
      <w:pPr>
        <w:spacing w:line="360" w:lineRule="auto"/>
        <w:ind w:left="-142" w:right="-144" w:firstLine="850"/>
        <w:contextualSpacing/>
        <w:rPr>
          <w:rFonts w:cs="Times New Roman"/>
          <w:szCs w:val="24"/>
        </w:rPr>
      </w:pPr>
      <w:r w:rsidRPr="00087354">
        <w:rPr>
          <w:rFonts w:cs="Times New Roman"/>
          <w:szCs w:val="24"/>
        </w:rPr>
        <w:t>Se considera que por los propios efectos de esta institución jurídica se manifiesta la actividad de fomento al incentivar el desarrollo de la economía ambiental a través de industrias más competitivas en mercados ambientales más exigentes, como lo diseña la Unión Europea en la aplicación de las normas EMAS en la industria, señaladas por autores como Betancor</w:t>
      </w:r>
      <w:r>
        <w:rPr>
          <w:rFonts w:cs="Times New Roman"/>
          <w:szCs w:val="24"/>
        </w:rPr>
        <w:t>t</w:t>
      </w:r>
      <w:r w:rsidRPr="00087354">
        <w:rPr>
          <w:rFonts w:cs="Times New Roman"/>
          <w:szCs w:val="24"/>
        </w:rPr>
        <w:t xml:space="preserve"> Rodríguez</w:t>
      </w:r>
      <w:r w:rsidRPr="00087354">
        <w:rPr>
          <w:rStyle w:val="Refdenotaalpie"/>
          <w:rFonts w:cs="Times New Roman"/>
          <w:szCs w:val="24"/>
        </w:rPr>
        <w:footnoteReference w:id="54"/>
      </w:r>
      <w:r w:rsidRPr="00087354">
        <w:rPr>
          <w:rFonts w:cs="Times New Roman"/>
          <w:szCs w:val="24"/>
        </w:rPr>
        <w:t>, Fernández de Gatta Sánchez</w:t>
      </w:r>
      <w:r w:rsidRPr="00087354">
        <w:rPr>
          <w:rStyle w:val="Refdenotaalpie"/>
          <w:rFonts w:cs="Times New Roman"/>
          <w:szCs w:val="24"/>
        </w:rPr>
        <w:footnoteReference w:id="55"/>
      </w:r>
      <w:r w:rsidRPr="00087354">
        <w:rPr>
          <w:rFonts w:cs="Times New Roman"/>
          <w:szCs w:val="24"/>
        </w:rPr>
        <w:t xml:space="preserve"> y Mora Ruiz</w:t>
      </w:r>
      <w:r w:rsidRPr="00087354">
        <w:rPr>
          <w:rStyle w:val="Refdenotaalpie"/>
          <w:rFonts w:cs="Times New Roman"/>
          <w:szCs w:val="24"/>
        </w:rPr>
        <w:footnoteReference w:id="56"/>
      </w:r>
      <w:r w:rsidRPr="00087354">
        <w:rPr>
          <w:rFonts w:cs="Times New Roman"/>
          <w:szCs w:val="24"/>
        </w:rPr>
        <w:t xml:space="preserve">. </w:t>
      </w:r>
    </w:p>
    <w:p w:rsidR="002204E0" w:rsidRPr="00087354" w:rsidRDefault="002204E0" w:rsidP="002204E0">
      <w:pPr>
        <w:spacing w:line="360" w:lineRule="auto"/>
        <w:ind w:left="-142" w:right="-144"/>
        <w:contextualSpacing/>
        <w:rPr>
          <w:rFonts w:cs="Times New Roman"/>
          <w:szCs w:val="24"/>
        </w:rPr>
      </w:pPr>
    </w:p>
    <w:p w:rsidR="002204E0" w:rsidRPr="00087354" w:rsidRDefault="002204E0" w:rsidP="002204E0">
      <w:pPr>
        <w:spacing w:line="360" w:lineRule="auto"/>
        <w:ind w:left="-142" w:right="-144" w:firstLine="850"/>
        <w:contextualSpacing/>
        <w:rPr>
          <w:rFonts w:cs="Times New Roman"/>
          <w:szCs w:val="24"/>
        </w:rPr>
      </w:pPr>
      <w:r w:rsidRPr="00087354">
        <w:rPr>
          <w:rFonts w:cs="Times New Roman"/>
          <w:szCs w:val="24"/>
        </w:rPr>
        <w:t>El sustrato de todas estas manifestaciones de la acti</w:t>
      </w:r>
      <w:r>
        <w:rPr>
          <w:rFonts w:cs="Times New Roman"/>
          <w:szCs w:val="24"/>
        </w:rPr>
        <w:t>vidad administrativa analizadas</w:t>
      </w:r>
      <w:r w:rsidRPr="00087354">
        <w:rPr>
          <w:rFonts w:cs="Times New Roman"/>
          <w:szCs w:val="24"/>
        </w:rPr>
        <w:t xml:space="preserve"> convergen en el control y la protección ambiental de forma permanente, pero no pueden estar divorciadas de la dinámica económica y de la fórmula Investigación+Desarrollo+Comercio en función del desarrollo sostenible que hoy se contextualiza en el mercado internacional de bienes y servicios, donde las EFS representadas a nivel global y regional por la INTOSAI a través del control ambiental juegan un rol significativo en lograr el equilibrio entre el progreso y la protección ambiental para las futuras generaciones.</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lastRenderedPageBreak/>
        <w:t>Son coincidentes en su regulación normativa, la misma parte de la protección del bien jurídico ambienta</w:t>
      </w:r>
      <w:r>
        <w:rPr>
          <w:rFonts w:cs="Times New Roman"/>
          <w:szCs w:val="24"/>
        </w:rPr>
        <w:t>l desde el texto constitucional</w:t>
      </w:r>
      <w:r w:rsidRPr="00E8751B">
        <w:rPr>
          <w:rFonts w:cs="Times New Roman"/>
          <w:szCs w:val="24"/>
        </w:rPr>
        <w:t xml:space="preserve"> se regula en los derechos internos en leyes generales del ambiente, de gestión ambiental, de contraloría y en leyes especiales que reglamentan de manera exclusiva la práctica de la auditoría ambiental; todas tributan a lograr el desarrollo sostenible a partir de ser reconocida en la doctrina y la normativa </w:t>
      </w:r>
      <w:r w:rsidRPr="00E8751B">
        <w:rPr>
          <w:rFonts w:cs="Times New Roman"/>
          <w:i/>
          <w:szCs w:val="24"/>
        </w:rPr>
        <w:t>ius</w:t>
      </w:r>
      <w:r w:rsidRPr="00E8751B">
        <w:rPr>
          <w:rFonts w:cs="Times New Roman"/>
          <w:szCs w:val="24"/>
        </w:rPr>
        <w:t xml:space="preserve"> administrativa y la </w:t>
      </w:r>
      <w:r w:rsidRPr="00E8751B">
        <w:rPr>
          <w:rFonts w:cs="Times New Roman"/>
          <w:i/>
          <w:szCs w:val="24"/>
        </w:rPr>
        <w:t>ius</w:t>
      </w:r>
      <w:r w:rsidRPr="00E8751B">
        <w:rPr>
          <w:rFonts w:cs="Times New Roman"/>
          <w:szCs w:val="24"/>
        </w:rPr>
        <w:t xml:space="preserve"> ambientalista. Demuestran la coyuntura de la democracia participativa, a partir del nuevo constitucionalismo de la región de América Latina y el Caribe con exponentes en los textos constitucionales de países como Ecuador, Venezuela y Bolivia los que han tratado la cuestión ambientalista con mayor rigor dentro de sus articulados otorgándoles derechos a la naturaleza como lo ha hecho Ecuador y Bolivia.</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En la Unión Europea, la 7</w:t>
      </w:r>
      <w:r>
        <w:rPr>
          <w:rFonts w:cs="Times New Roman"/>
          <w:szCs w:val="24"/>
          <w:vertAlign w:val="superscript"/>
        </w:rPr>
        <w:t>a</w:t>
      </w:r>
      <w:r>
        <w:rPr>
          <w:rFonts w:cs="Times New Roman"/>
          <w:szCs w:val="24"/>
        </w:rPr>
        <w:t xml:space="preserve"> Evaluación del Desarrollo d</w:t>
      </w:r>
      <w:r w:rsidRPr="00E8751B">
        <w:rPr>
          <w:rFonts w:cs="Times New Roman"/>
          <w:szCs w:val="24"/>
        </w:rPr>
        <w:t xml:space="preserve">el Derecho Ambiental </w:t>
      </w:r>
      <w:r w:rsidRPr="00525849">
        <w:rPr>
          <w:rFonts w:cs="Times New Roman"/>
          <w:szCs w:val="24"/>
        </w:rPr>
        <w:t>realizada por Martín Mateo</w:t>
      </w:r>
      <w:r w:rsidRPr="00525849">
        <w:rPr>
          <w:rStyle w:val="Refdenotaalpie"/>
          <w:rFonts w:cs="Times New Roman"/>
          <w:szCs w:val="24"/>
        </w:rPr>
        <w:footnoteReference w:id="57"/>
      </w:r>
      <w:r w:rsidRPr="00525849">
        <w:rPr>
          <w:rFonts w:cs="Times New Roman"/>
          <w:szCs w:val="24"/>
        </w:rPr>
        <w:t>, Fernández de Gatta Sánchez</w:t>
      </w:r>
      <w:r w:rsidRPr="00525849">
        <w:rPr>
          <w:rStyle w:val="Refdenotaalpie"/>
          <w:rFonts w:cs="Times New Roman"/>
          <w:szCs w:val="24"/>
        </w:rPr>
        <w:footnoteReference w:id="58"/>
      </w:r>
      <w:r w:rsidRPr="00525849">
        <w:rPr>
          <w:rFonts w:cs="Times New Roman"/>
          <w:szCs w:val="24"/>
        </w:rPr>
        <w:t xml:space="preserve"> y Nogueira López</w:t>
      </w:r>
      <w:r w:rsidRPr="00525849">
        <w:rPr>
          <w:rStyle w:val="Refdenotaalpie"/>
          <w:rFonts w:cs="Times New Roman"/>
          <w:szCs w:val="24"/>
        </w:rPr>
        <w:footnoteReference w:id="59"/>
      </w:r>
      <w:r w:rsidRPr="00525849">
        <w:rPr>
          <w:rFonts w:cs="Times New Roman"/>
          <w:szCs w:val="24"/>
        </w:rPr>
        <w:t>,</w:t>
      </w:r>
      <w:r w:rsidRPr="00E8751B">
        <w:rPr>
          <w:rFonts w:cs="Times New Roman"/>
          <w:szCs w:val="24"/>
        </w:rPr>
        <w:t xml:space="preserve"> </w:t>
      </w:r>
      <w:r>
        <w:rPr>
          <w:rFonts w:cs="Times New Roman"/>
          <w:szCs w:val="24"/>
        </w:rPr>
        <w:t>incluye, en sus resultados,</w:t>
      </w:r>
      <w:r w:rsidRPr="00E8751B">
        <w:rPr>
          <w:rFonts w:cs="Times New Roman"/>
          <w:szCs w:val="24"/>
        </w:rPr>
        <w:t xml:space="preserve"> la práctica de esta ti</w:t>
      </w:r>
      <w:r>
        <w:rPr>
          <w:rFonts w:cs="Times New Roman"/>
          <w:szCs w:val="24"/>
        </w:rPr>
        <w:t>pología de auditoría. L</w:t>
      </w:r>
      <w:r w:rsidRPr="00E8751B">
        <w:rPr>
          <w:rFonts w:cs="Times New Roman"/>
          <w:szCs w:val="24"/>
        </w:rPr>
        <w:t>a protección del bien jurídico ambiental se materializa a partir del texto constitucional, en las leyes marcos ambientales, en leyes de la auditoría pública, en códigos ambientales; en su conjunto todos conforman un núcleo estable a nivel normativo, brindan solidez y sustento para el posterior desarrollo de las p</w:t>
      </w:r>
      <w:r>
        <w:rPr>
          <w:rFonts w:cs="Times New Roman"/>
          <w:szCs w:val="24"/>
        </w:rPr>
        <w:t>olíticas ambientales públicas, é</w:t>
      </w:r>
      <w:r w:rsidRPr="00E8751B">
        <w:rPr>
          <w:rFonts w:cs="Times New Roman"/>
          <w:szCs w:val="24"/>
        </w:rPr>
        <w:t xml:space="preserve">stas incorporan los conceptos de economía y contabilidad ambiental evaluados con la auditoría ambiental por las EUROSAI.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Al analizar el informe de la XIV asamblea internacional de la INTOSAI, son señalados los principales retos presentes y futuros que tendrá la auditoría ambiental a partir de haber sido ejecutada la auditoría de seguimiento al cambio climático en América Latina. </w:t>
      </w:r>
      <w:r>
        <w:rPr>
          <w:rFonts w:cs="Times New Roman"/>
          <w:szCs w:val="24"/>
        </w:rPr>
        <w:t>Se erige</w:t>
      </w:r>
      <w:r w:rsidRPr="00E8751B">
        <w:rPr>
          <w:rFonts w:cs="Times New Roman"/>
          <w:szCs w:val="24"/>
        </w:rPr>
        <w:t xml:space="preserve"> como retos presentes conformar una base de </w:t>
      </w:r>
      <w:r>
        <w:rPr>
          <w:rFonts w:cs="Times New Roman"/>
          <w:szCs w:val="24"/>
        </w:rPr>
        <w:t>datos ambientales a todo nivel —local, regional e internacional—</w:t>
      </w:r>
      <w:r w:rsidRPr="00E8751B">
        <w:rPr>
          <w:rFonts w:cs="Times New Roman"/>
          <w:szCs w:val="24"/>
        </w:rPr>
        <w:t xml:space="preserve"> toda vez que los problemas ambientales y los asuntos políticos son nuevos; la sostenibilidad como dimensión central es difícil de abordar por los sujetos; los problemas ambientales y su reducción evolucionan con el tiempo; es un desafío vincular de forma material los asuntos ambientales y las finanzas estatales; el análisis costo-beneficio de los beneficios a largo plazo </w:t>
      </w:r>
      <w:r>
        <w:rPr>
          <w:rFonts w:cs="Times New Roman"/>
          <w:szCs w:val="24"/>
        </w:rPr>
        <w:t>de los compromisos ambientales —</w:t>
      </w:r>
      <w:r w:rsidRPr="00E8751B">
        <w:rPr>
          <w:rFonts w:cs="Times New Roman"/>
          <w:szCs w:val="24"/>
        </w:rPr>
        <w:t>elemento crucial y difícil d</w:t>
      </w:r>
      <w:r>
        <w:rPr>
          <w:rFonts w:cs="Times New Roman"/>
          <w:szCs w:val="24"/>
        </w:rPr>
        <w:t>e atenderse por los empresarios—; los asuntos ambientales —</w:t>
      </w:r>
      <w:r w:rsidRPr="00E8751B">
        <w:rPr>
          <w:rFonts w:cs="Times New Roman"/>
          <w:szCs w:val="24"/>
        </w:rPr>
        <w:t>multin</w:t>
      </w:r>
      <w:r>
        <w:rPr>
          <w:rFonts w:cs="Times New Roman"/>
          <w:szCs w:val="24"/>
        </w:rPr>
        <w:t>acionales e interdisciplinarios—</w:t>
      </w:r>
      <w:r w:rsidRPr="00E8751B">
        <w:rPr>
          <w:rFonts w:cs="Times New Roman"/>
          <w:szCs w:val="24"/>
        </w:rPr>
        <w:t>; el trabajo de campo requiere de competencias y conocimientos específicos para ejecutar la auditoría ambiental.</w:t>
      </w:r>
    </w:p>
    <w:p w:rsidR="002204E0" w:rsidRDefault="002204E0" w:rsidP="002204E0">
      <w:pPr>
        <w:spacing w:line="360" w:lineRule="auto"/>
        <w:ind w:left="-142" w:right="-144" w:firstLine="850"/>
        <w:contextualSpacing/>
        <w:rPr>
          <w:rFonts w:cs="Times New Roman"/>
          <w:szCs w:val="24"/>
        </w:rPr>
      </w:pPr>
    </w:p>
    <w:p w:rsidR="002204E0" w:rsidRPr="00E8751B" w:rsidRDefault="002204E0" w:rsidP="00D95EE4">
      <w:pPr>
        <w:spacing w:line="360" w:lineRule="auto"/>
        <w:ind w:left="-142" w:right="-144" w:firstLine="850"/>
        <w:contextualSpacing/>
        <w:rPr>
          <w:rFonts w:cs="Times New Roman"/>
          <w:szCs w:val="24"/>
        </w:rPr>
      </w:pPr>
      <w:r>
        <w:rPr>
          <w:rFonts w:cs="Times New Roman"/>
          <w:szCs w:val="24"/>
        </w:rPr>
        <w:t>E</w:t>
      </w:r>
      <w:r w:rsidRPr="00E8751B">
        <w:rPr>
          <w:rFonts w:cs="Times New Roman"/>
          <w:szCs w:val="24"/>
        </w:rPr>
        <w:t xml:space="preserve">n la medida que los efectos del cambio climático se vuelvan más evidentes, serán abordados asuntos ambientales globales más complejos, </w:t>
      </w:r>
      <w:r>
        <w:rPr>
          <w:rFonts w:cs="Times New Roman"/>
          <w:szCs w:val="24"/>
        </w:rPr>
        <w:t>por lo que l</w:t>
      </w:r>
      <w:r w:rsidRPr="00E8751B">
        <w:rPr>
          <w:rFonts w:cs="Times New Roman"/>
          <w:szCs w:val="24"/>
        </w:rPr>
        <w:t>a proyección de la auditoría ambiental será</w:t>
      </w:r>
      <w:r>
        <w:rPr>
          <w:rFonts w:cs="Times New Roman"/>
          <w:szCs w:val="24"/>
        </w:rPr>
        <w:t xml:space="preserve"> más amplia; </w:t>
      </w:r>
      <w:r w:rsidRPr="00E8751B">
        <w:rPr>
          <w:rFonts w:cs="Times New Roman"/>
          <w:szCs w:val="24"/>
        </w:rPr>
        <w:t>para ello será necesario incrementar el equipo de auditores ambientales y darles la capacitación; planificar auditorías y elegi</w:t>
      </w:r>
      <w:r>
        <w:rPr>
          <w:rFonts w:cs="Times New Roman"/>
          <w:szCs w:val="24"/>
        </w:rPr>
        <w:t>r los tópicos y enfoques con</w:t>
      </w:r>
      <w:r w:rsidRPr="00E8751B">
        <w:rPr>
          <w:rFonts w:cs="Times New Roman"/>
          <w:szCs w:val="24"/>
        </w:rPr>
        <w:t xml:space="preserve"> amplia gama de opciones</w:t>
      </w:r>
      <w:r>
        <w:rPr>
          <w:rFonts w:cs="Times New Roman"/>
          <w:szCs w:val="24"/>
        </w:rPr>
        <w:t>,</w:t>
      </w:r>
      <w:r w:rsidRPr="00E8751B">
        <w:rPr>
          <w:rFonts w:cs="Times New Roman"/>
          <w:szCs w:val="24"/>
        </w:rPr>
        <w:t xml:space="preserve"> </w:t>
      </w:r>
      <w:r>
        <w:rPr>
          <w:rFonts w:cs="Times New Roman"/>
          <w:szCs w:val="24"/>
        </w:rPr>
        <w:t>por ejemplo</w:t>
      </w:r>
      <w:r w:rsidRPr="00E8751B">
        <w:rPr>
          <w:rFonts w:cs="Times New Roman"/>
          <w:szCs w:val="24"/>
        </w:rPr>
        <w:t xml:space="preserve"> el caso de la auditoría de seguimiento al cambio climático</w:t>
      </w:r>
      <w:r>
        <w:rPr>
          <w:rFonts w:cs="Times New Roman"/>
          <w:szCs w:val="24"/>
        </w:rPr>
        <w:t xml:space="preserve">. Además </w:t>
      </w:r>
      <w:r w:rsidRPr="00E8751B">
        <w:rPr>
          <w:rFonts w:cs="Times New Roman"/>
          <w:szCs w:val="24"/>
        </w:rPr>
        <w:t>será necesario concientizar al público y a los políticos sobre la práctica de la auditoría ambiental y su relevancia, que permita adaptarse a las fluctuaciones de las decisiones de política ambiental por parte de la Administración Pública y poder determinar en qué medida se tr</w:t>
      </w:r>
      <w:r>
        <w:rPr>
          <w:rFonts w:cs="Times New Roman"/>
          <w:szCs w:val="24"/>
        </w:rPr>
        <w:t>atan los temas ambientales y qué nivel de pertinencia tienen é</w:t>
      </w:r>
      <w:r w:rsidRPr="00E8751B">
        <w:rPr>
          <w:rFonts w:cs="Times New Roman"/>
          <w:szCs w:val="24"/>
        </w:rPr>
        <w:t xml:space="preserve">stos, permitirá mantener la integridad y el profesionalismo en la lucha contra la politización de los problemas ambientales que hoy afectan al planeta y no se les ha dado una adecuada solución por las naciones más contaminadoras en este siglo XXI.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Al respecto, </w:t>
      </w:r>
      <w:r>
        <w:rPr>
          <w:rFonts w:cs="Times New Roman"/>
          <w:szCs w:val="24"/>
        </w:rPr>
        <w:t>considero</w:t>
      </w:r>
      <w:r w:rsidRPr="00E8751B">
        <w:rPr>
          <w:rFonts w:cs="Times New Roman"/>
          <w:szCs w:val="24"/>
        </w:rPr>
        <w:t xml:space="preserve"> que la era de la globalización y de las economías verdes,</w:t>
      </w:r>
      <w:r>
        <w:rPr>
          <w:rFonts w:cs="Times New Roman"/>
          <w:szCs w:val="24"/>
        </w:rPr>
        <w:t xml:space="preserve"> harán más amplio </w:t>
      </w:r>
      <w:r w:rsidRPr="00E8751B">
        <w:rPr>
          <w:rFonts w:cs="Times New Roman"/>
          <w:szCs w:val="24"/>
        </w:rPr>
        <w:t xml:space="preserve">el papel futuro </w:t>
      </w:r>
      <w:r>
        <w:rPr>
          <w:rFonts w:cs="Times New Roman"/>
          <w:szCs w:val="24"/>
        </w:rPr>
        <w:t>de</w:t>
      </w:r>
      <w:r w:rsidRPr="00E8751B">
        <w:rPr>
          <w:rFonts w:cs="Times New Roman"/>
          <w:szCs w:val="24"/>
        </w:rPr>
        <w:t xml:space="preserve"> la auditoría ambiental </w:t>
      </w:r>
      <w:r>
        <w:rPr>
          <w:rFonts w:cs="Times New Roman"/>
          <w:szCs w:val="24"/>
        </w:rPr>
        <w:t xml:space="preserve">como valor agregado </w:t>
      </w:r>
      <w:r w:rsidRPr="00E8751B">
        <w:rPr>
          <w:rFonts w:cs="Times New Roman"/>
          <w:szCs w:val="24"/>
        </w:rPr>
        <w:t xml:space="preserve">en materia de protección ambiental, </w:t>
      </w:r>
      <w:r>
        <w:rPr>
          <w:rFonts w:cs="Times New Roman"/>
          <w:szCs w:val="24"/>
        </w:rPr>
        <w:t xml:space="preserve">y así </w:t>
      </w:r>
      <w:r w:rsidRPr="00E8751B">
        <w:rPr>
          <w:rFonts w:cs="Times New Roman"/>
          <w:szCs w:val="24"/>
        </w:rPr>
        <w:t>será acertado recurrir a las definiciones tomadas en las reuniones realizadas desde Estocolmo hasta Rio de Janeiro, vinculadas al desarrollo sostenible y al cambio climático. Donde, la economía verde, la globaliza</w:t>
      </w:r>
      <w:r>
        <w:rPr>
          <w:rFonts w:cs="Times New Roman"/>
          <w:szCs w:val="24"/>
        </w:rPr>
        <w:t>ción, las reformas energéticas —combustibles y electricidad—</w:t>
      </w:r>
      <w:r w:rsidRPr="00E8751B">
        <w:rPr>
          <w:rFonts w:cs="Times New Roman"/>
          <w:szCs w:val="24"/>
        </w:rPr>
        <w:t xml:space="preserve">, la mitigación y la adaptabilidad al cambio climático, los planes, los programas y los proyectos de obras, representan la acción del hombre en el ambiente construido; en su ejecución deberán ser sostenibles, certificables, comprobables, reconocidos con la aplicación de la auditoría ambiental como la evaluación clave.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Lo importante es que el sector social (la academia, el gobierno y la sociedad) cuiden, vigilen y pr</w:t>
      </w:r>
      <w:r>
        <w:rPr>
          <w:rFonts w:cs="Times New Roman"/>
          <w:szCs w:val="24"/>
        </w:rPr>
        <w:t>otejan el marco legal —local e internacional—</w:t>
      </w:r>
      <w:r w:rsidRPr="00E8751B">
        <w:rPr>
          <w:rFonts w:cs="Times New Roman"/>
          <w:szCs w:val="24"/>
        </w:rPr>
        <w:t xml:space="preserve"> con empresas responsables con el ambiente</w:t>
      </w:r>
      <w:r>
        <w:rPr>
          <w:rFonts w:cs="Times New Roman"/>
          <w:szCs w:val="24"/>
        </w:rPr>
        <w:t>, que permitan aplicar la fó</w:t>
      </w:r>
      <w:r w:rsidRPr="00E8751B">
        <w:rPr>
          <w:rFonts w:cs="Times New Roman"/>
          <w:szCs w:val="24"/>
        </w:rPr>
        <w:t>rmula Investigación+Desarrollo+Innovación</w:t>
      </w:r>
      <w:r>
        <w:rPr>
          <w:rFonts w:cs="Times New Roman"/>
          <w:szCs w:val="24"/>
        </w:rPr>
        <w:t>+</w:t>
      </w:r>
      <w:r w:rsidRPr="00E8751B">
        <w:rPr>
          <w:rFonts w:cs="Times New Roman"/>
          <w:szCs w:val="24"/>
        </w:rPr>
        <w:t>Etiqueta-Certificación</w:t>
      </w:r>
      <w:r>
        <w:rPr>
          <w:rFonts w:cs="Times New Roman"/>
          <w:szCs w:val="24"/>
        </w:rPr>
        <w:t xml:space="preserve"> Ambiental=</w:t>
      </w:r>
      <w:r w:rsidRPr="00E8751B">
        <w:rPr>
          <w:rFonts w:cs="Times New Roman"/>
          <w:szCs w:val="24"/>
        </w:rPr>
        <w:t xml:space="preserve">Empresa Responsable con el Ambiente; al decir que lo verde vende, permitiendo transitar de la certificación de la calidad que hoy se pondera en las formas de gestión estatal hacia la certificación ambiental en la nación cubana dentro del sector estatal.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En las formas de gestión del sector estatal cubano</w:t>
      </w:r>
      <w:r>
        <w:rPr>
          <w:rFonts w:cs="Times New Roman"/>
          <w:szCs w:val="24"/>
        </w:rPr>
        <w:t xml:space="preserve"> la</w:t>
      </w:r>
      <w:r w:rsidRPr="00E8751B">
        <w:rPr>
          <w:rFonts w:cs="Times New Roman"/>
          <w:szCs w:val="24"/>
        </w:rPr>
        <w:t xml:space="preserve"> tipología de auditoría deberá contribuir al desarrollo económico y</w:t>
      </w:r>
      <w:r>
        <w:rPr>
          <w:rFonts w:cs="Times New Roman"/>
          <w:szCs w:val="24"/>
        </w:rPr>
        <w:t>,</w:t>
      </w:r>
      <w:r w:rsidRPr="00E8751B">
        <w:rPr>
          <w:rFonts w:cs="Times New Roman"/>
          <w:szCs w:val="24"/>
        </w:rPr>
        <w:t xml:space="preserve"> a la vez</w:t>
      </w:r>
      <w:r>
        <w:rPr>
          <w:rFonts w:cs="Times New Roman"/>
          <w:szCs w:val="24"/>
        </w:rPr>
        <w:t>,</w:t>
      </w:r>
      <w:r w:rsidRPr="00E8751B">
        <w:rPr>
          <w:rFonts w:cs="Times New Roman"/>
          <w:szCs w:val="24"/>
        </w:rPr>
        <w:t xml:space="preserve"> elevará el nivel y calidad de vida de la población, conjugados con la necesaria formación de valores éticos y políticos de los ciudadanos, </w:t>
      </w:r>
      <w:r>
        <w:rPr>
          <w:rFonts w:cs="Times New Roman"/>
          <w:szCs w:val="24"/>
        </w:rPr>
        <w:t xml:space="preserve">para lo cual será </w:t>
      </w:r>
      <w:r w:rsidRPr="00E8751B">
        <w:rPr>
          <w:rFonts w:cs="Times New Roman"/>
          <w:szCs w:val="24"/>
        </w:rPr>
        <w:t xml:space="preserve">de suma importancia la práctica de </w:t>
      </w:r>
      <w:r w:rsidRPr="00E8751B">
        <w:rPr>
          <w:rFonts w:cs="Times New Roman"/>
          <w:szCs w:val="24"/>
        </w:rPr>
        <w:lastRenderedPageBreak/>
        <w:t>la auditoría ambiental como meta para lograr el desarrollo sostenible y el bienestar social, debatidos por Murillo Jorge en la Asamblea Nacional del Po</w:t>
      </w:r>
      <w:r>
        <w:rPr>
          <w:rFonts w:cs="Times New Roman"/>
          <w:szCs w:val="24"/>
        </w:rPr>
        <w:t>der Popular en la nación cubana, en concordancia con</w:t>
      </w:r>
      <w:r w:rsidRPr="00E8751B">
        <w:rPr>
          <w:rFonts w:cs="Times New Roman"/>
          <w:szCs w:val="24"/>
        </w:rPr>
        <w:t xml:space="preserve"> la aprobación de los Lineamientos de la Política Económica y Social del Partido y la Revolución, cuyo fin es actualizar el modelo económico como objetivo para garantizar la continuidad e irreversibilidad del sistema social</w:t>
      </w:r>
      <w:r>
        <w:rPr>
          <w:rFonts w:cs="Times New Roman"/>
          <w:szCs w:val="24"/>
        </w:rPr>
        <w:t>.</w:t>
      </w:r>
    </w:p>
    <w:p w:rsidR="002204E0" w:rsidRPr="00E8751B" w:rsidRDefault="002204E0" w:rsidP="002204E0">
      <w:pPr>
        <w:spacing w:line="360" w:lineRule="auto"/>
        <w:ind w:left="-142" w:right="-144" w:firstLine="850"/>
        <w:contextualSpacing/>
        <w:rPr>
          <w:rFonts w:cs="Times New Roman"/>
          <w:szCs w:val="24"/>
        </w:rPr>
      </w:pPr>
      <w:r>
        <w:rPr>
          <w:rFonts w:cs="Times New Roman"/>
          <w:szCs w:val="24"/>
        </w:rPr>
        <w:t>Por ello</w:t>
      </w:r>
      <w:r w:rsidRPr="00E8751B">
        <w:rPr>
          <w:rFonts w:cs="Times New Roman"/>
          <w:szCs w:val="24"/>
        </w:rPr>
        <w:t xml:space="preserve"> toda esta pol</w:t>
      </w:r>
      <w:r>
        <w:rPr>
          <w:rFonts w:cs="Times New Roman"/>
          <w:szCs w:val="24"/>
        </w:rPr>
        <w:t>ítica económica trazada por el p</w:t>
      </w:r>
      <w:r w:rsidRPr="00E8751B">
        <w:rPr>
          <w:rFonts w:cs="Times New Roman"/>
          <w:szCs w:val="24"/>
        </w:rPr>
        <w:t>artido</w:t>
      </w:r>
      <w:r>
        <w:rPr>
          <w:rFonts w:cs="Times New Roman"/>
          <w:szCs w:val="24"/>
        </w:rPr>
        <w:t>,</w:t>
      </w:r>
      <w:r w:rsidRPr="00E8751B">
        <w:rPr>
          <w:rFonts w:cs="Times New Roman"/>
          <w:szCs w:val="24"/>
        </w:rPr>
        <w:t xml:space="preserve"> y aprobada en la Asamblea Nacional del Poder Popular, se corresponderá con el principio de que sólo el sistema socialista como sistema social es capaz de vencer las dificultades y preservar las conquistas de la Revolución cubana en sus 55 años. Donde continuará primando la planificación por el Estado, la cual tendrá en cuenta las tendencias del mercado interno y el foráneo, factores donde entrará a jugar un rol relevante la aplicación de la auditoría ambiental, como una de las herramientas de gestión necesarias para revolucionar y evolucionar a las formas de gestión del sector estatal cubano, que les permita a futuro ser mucho más competitivas, tras potenciar la fórmula antes citada por este autor.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Todas estas modificaciones que se produzcan en el área económica del sector estatal tendrán su reflejo en la sociedad en los elementos de la conciencia ciudadana, entendida como la comprensión de la necesidad histórica de actualizar el modelo económico, de suma importancia para el logro de los objetivos propuestos por la nación cubana en el siglo XXI. En toda esta construcción de la sociedad socialista, fieles a su esencia humanística, del esquema y el hábito deberá potenciar</w:t>
      </w:r>
      <w:r>
        <w:rPr>
          <w:rFonts w:cs="Times New Roman"/>
          <w:szCs w:val="24"/>
        </w:rPr>
        <w:t>se el valor de proteger al</w:t>
      </w:r>
      <w:r w:rsidRPr="00E8751B">
        <w:rPr>
          <w:rFonts w:cs="Times New Roman"/>
          <w:szCs w:val="24"/>
        </w:rPr>
        <w:t xml:space="preserve"> ambiente como un bien público de uso colectivo. </w:t>
      </w:r>
    </w:p>
    <w:p w:rsidR="002204E0" w:rsidRPr="00E8751B" w:rsidRDefault="002204E0" w:rsidP="002204E0">
      <w:pPr>
        <w:spacing w:line="360" w:lineRule="auto"/>
        <w:ind w:left="-142" w:right="-144" w:firstLine="850"/>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Retos que deberán ser armonizados con mayor autonomía por parte de las formas de gestión estatal y en el desarrollo de otras formas de gestión que hoy aparecen dentro del escenario económico cubano en su actualización a raíz de un nuevo concepto del empresario privado y la creación de cooperativas urbanas. En la actualización del modelo económico se reconoce y promueve</w:t>
      </w:r>
      <w:r>
        <w:rPr>
          <w:rFonts w:cs="Times New Roman"/>
          <w:szCs w:val="24"/>
        </w:rPr>
        <w:t>,</w:t>
      </w:r>
      <w:r w:rsidRPr="00E8751B">
        <w:rPr>
          <w:rFonts w:cs="Times New Roman"/>
          <w:szCs w:val="24"/>
        </w:rPr>
        <w:t xml:space="preserve"> además de las formas de gestión estatal como </w:t>
      </w:r>
      <w:r>
        <w:rPr>
          <w:rFonts w:cs="Times New Roman"/>
          <w:szCs w:val="24"/>
        </w:rPr>
        <w:t>manera</w:t>
      </w:r>
      <w:r w:rsidRPr="00E8751B">
        <w:rPr>
          <w:rFonts w:cs="Times New Roman"/>
          <w:szCs w:val="24"/>
        </w:rPr>
        <w:t xml:space="preserve"> principal en la economía nacional, las modalidades de la inversión extranjera, las cooperativas agropecuarias y no agropecuarias, los agricultores pequeños, los usufructuarios, los arrendatarios y las otras formas de gestión no estatal que surjan para contribuir a elevar la eficiencia económica del país.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 xml:space="preserve">En todo este orden interno patrio, a partir de los análisis realizados de los factores adversos reconocidos por la administración pública como son la baja eficiencia, la descapitalización de la base </w:t>
      </w:r>
      <w:r w:rsidRPr="00E8751B">
        <w:rPr>
          <w:rFonts w:cs="Times New Roman"/>
          <w:szCs w:val="24"/>
        </w:rPr>
        <w:lastRenderedPageBreak/>
        <w:t>productiva y la infraestructura económica, el crecimiento po</w:t>
      </w:r>
      <w:r>
        <w:rPr>
          <w:rFonts w:cs="Times New Roman"/>
          <w:szCs w:val="24"/>
        </w:rPr>
        <w:t>blacional envejecido; analizado</w:t>
      </w:r>
      <w:r w:rsidRPr="00E8751B">
        <w:rPr>
          <w:rFonts w:cs="Times New Roman"/>
          <w:szCs w:val="24"/>
        </w:rPr>
        <w:t xml:space="preserve"> a partir de los resultados de las experi</w:t>
      </w:r>
      <w:r>
        <w:rPr>
          <w:rFonts w:cs="Times New Roman"/>
          <w:szCs w:val="24"/>
        </w:rPr>
        <w:t>encias obtenidas en el peri</w:t>
      </w:r>
      <w:r w:rsidRPr="00E8751B">
        <w:rPr>
          <w:rFonts w:cs="Times New Roman"/>
          <w:szCs w:val="24"/>
        </w:rPr>
        <w:t xml:space="preserve">odo comprendido desde 1961 hasta 1972 con el intercambio económico con la Unión de Repúblicas Socialistas Soviéticas en los intentos de avanzar en la industrialización, en la diversificación agrícola y en la sustitución de las importaciones, no logrados de manera adecuada en esta etapa.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Con el proceso de rectificación de errores y tendencias negativas en la economía cubana fueron analizados y salieron los principales errores y deficiencias</w:t>
      </w:r>
      <w:r>
        <w:rPr>
          <w:rFonts w:cs="Times New Roman"/>
          <w:szCs w:val="24"/>
        </w:rPr>
        <w:t>,</w:t>
      </w:r>
      <w:r w:rsidRPr="00E8751B">
        <w:rPr>
          <w:rFonts w:cs="Times New Roman"/>
          <w:szCs w:val="24"/>
        </w:rPr>
        <w:t xml:space="preserve"> como fueron la falta de crecimiento de los productos exportables, la incapacidad para sustituir importaciones, la falta de integralidad en la planificación, el incumplimiento de los cronogramas en las inversiones constructivas, la falta de correspondencia entre el trabajo científico y las necesidades del país. </w:t>
      </w:r>
    </w:p>
    <w:p w:rsidR="002204E0" w:rsidRPr="00E8751B" w:rsidRDefault="002204E0" w:rsidP="002204E0">
      <w:pPr>
        <w:spacing w:line="360" w:lineRule="auto"/>
        <w:ind w:left="-142" w:right="-144"/>
        <w:contextualSpacing/>
        <w:rPr>
          <w:rFonts w:cs="Times New Roman"/>
          <w:szCs w:val="24"/>
        </w:rPr>
      </w:pPr>
    </w:p>
    <w:p w:rsidR="002204E0" w:rsidRPr="00E8751B" w:rsidRDefault="002204E0" w:rsidP="002204E0">
      <w:pPr>
        <w:spacing w:line="360" w:lineRule="auto"/>
        <w:ind w:left="-142" w:right="-144" w:firstLine="850"/>
        <w:contextualSpacing/>
        <w:rPr>
          <w:rFonts w:cs="Times New Roman"/>
          <w:szCs w:val="24"/>
        </w:rPr>
      </w:pPr>
      <w:r w:rsidRPr="00E8751B">
        <w:rPr>
          <w:rFonts w:cs="Times New Roman"/>
          <w:szCs w:val="24"/>
        </w:rPr>
        <w:t>La modificación del escenario internacional situó a Cuba en una posición desventajosa ante las afectaciones directas</w:t>
      </w:r>
      <w:r>
        <w:rPr>
          <w:rFonts w:cs="Times New Roman"/>
          <w:szCs w:val="24"/>
        </w:rPr>
        <w:t>,</w:t>
      </w:r>
      <w:r w:rsidRPr="00E8751B">
        <w:rPr>
          <w:rFonts w:cs="Times New Roman"/>
          <w:szCs w:val="24"/>
        </w:rPr>
        <w:t xml:space="preserve"> como fue el parcial aislamiento internacional, la necesidad de reinsertar sus relaciones económicas en un mundo unipolar y la intensificación del bloqueo económico a fin</w:t>
      </w:r>
      <w:r>
        <w:rPr>
          <w:rFonts w:cs="Times New Roman"/>
          <w:szCs w:val="24"/>
        </w:rPr>
        <w:t>ales de la década de los años noventa</w:t>
      </w:r>
      <w:r w:rsidRPr="00E8751B">
        <w:rPr>
          <w:rFonts w:cs="Times New Roman"/>
          <w:szCs w:val="24"/>
        </w:rPr>
        <w:t xml:space="preserve"> del pasado siglo, al decir de autores como </w:t>
      </w:r>
      <w:r w:rsidRPr="007B3DF6">
        <w:rPr>
          <w:rFonts w:cs="Times New Roman"/>
          <w:szCs w:val="24"/>
        </w:rPr>
        <w:t>Triana Cordoví</w:t>
      </w:r>
      <w:r>
        <w:rPr>
          <w:rFonts w:cs="Times New Roman"/>
          <w:szCs w:val="24"/>
        </w:rPr>
        <w:t>.</w:t>
      </w:r>
      <w:r w:rsidRPr="007B3DF6">
        <w:rPr>
          <w:rStyle w:val="Refdenotaalpie"/>
          <w:rFonts w:cs="Times New Roman"/>
          <w:szCs w:val="24"/>
        </w:rPr>
        <w:footnoteReference w:id="60"/>
      </w:r>
      <w:r w:rsidRPr="00E8751B">
        <w:rPr>
          <w:rFonts w:cs="Times New Roman"/>
          <w:szCs w:val="24"/>
        </w:rPr>
        <w:t xml:space="preserve"> En correspondencia se valoran los objetivos que fuer</w:t>
      </w:r>
      <w:r>
        <w:rPr>
          <w:rFonts w:cs="Times New Roman"/>
          <w:szCs w:val="24"/>
        </w:rPr>
        <w:t>an planteados en la Resolución Económica del Q</w:t>
      </w:r>
      <w:r w:rsidRPr="00E8751B">
        <w:rPr>
          <w:rFonts w:cs="Times New Roman"/>
          <w:szCs w:val="24"/>
        </w:rPr>
        <w:t xml:space="preserve">uinto Congreso del Partido Comunista de Cuba, donde resultó necesario reorientar algunas políticas para enfrentar los complejos problemas derivados del entorno internacional, así como los que en el orden interno se presentaron. </w:t>
      </w:r>
      <w:r>
        <w:rPr>
          <w:rFonts w:cs="Times New Roman"/>
          <w:szCs w:val="24"/>
        </w:rPr>
        <w:t>L</w:t>
      </w:r>
      <w:r w:rsidRPr="00E8751B">
        <w:rPr>
          <w:rFonts w:cs="Times New Roman"/>
          <w:szCs w:val="24"/>
        </w:rPr>
        <w:t xml:space="preserve">a problemática ambiental </w:t>
      </w:r>
      <w:r>
        <w:rPr>
          <w:rFonts w:cs="Times New Roman"/>
          <w:szCs w:val="24"/>
        </w:rPr>
        <w:t>fue c</w:t>
      </w:r>
      <w:r w:rsidRPr="00E8751B">
        <w:rPr>
          <w:rFonts w:cs="Times New Roman"/>
          <w:szCs w:val="24"/>
        </w:rPr>
        <w:t>onsiderada también dentro de los Lineamientos del 6</w:t>
      </w:r>
      <w:r>
        <w:rPr>
          <w:rFonts w:cs="Times New Roman"/>
          <w:szCs w:val="24"/>
          <w:vertAlign w:val="superscript"/>
        </w:rPr>
        <w:t>o</w:t>
      </w:r>
      <w:r w:rsidRPr="00E8751B">
        <w:rPr>
          <w:rFonts w:cs="Times New Roman"/>
          <w:szCs w:val="24"/>
        </w:rPr>
        <w:t xml:space="preserve"> Congreso del Partido Comunista de Cuba</w:t>
      </w:r>
      <w:r>
        <w:rPr>
          <w:rFonts w:cs="Times New Roman"/>
          <w:szCs w:val="24"/>
        </w:rPr>
        <w:t>,</w:t>
      </w:r>
      <w:r w:rsidRPr="00E8751B">
        <w:rPr>
          <w:rFonts w:cs="Times New Roman"/>
          <w:szCs w:val="24"/>
        </w:rPr>
        <w:t xml:space="preserve"> </w:t>
      </w:r>
      <w:r>
        <w:rPr>
          <w:rFonts w:cs="Times New Roman"/>
          <w:szCs w:val="24"/>
        </w:rPr>
        <w:t xml:space="preserve">la cual se </w:t>
      </w:r>
      <w:r w:rsidRPr="00E8751B">
        <w:rPr>
          <w:rFonts w:cs="Times New Roman"/>
          <w:szCs w:val="24"/>
        </w:rPr>
        <w:t>vincul</w:t>
      </w:r>
      <w:r>
        <w:rPr>
          <w:rFonts w:cs="Times New Roman"/>
          <w:szCs w:val="24"/>
        </w:rPr>
        <w:t>ó con el control ambiental</w:t>
      </w:r>
      <w:r w:rsidRPr="00E8751B">
        <w:rPr>
          <w:rFonts w:cs="Times New Roman"/>
          <w:szCs w:val="24"/>
        </w:rPr>
        <w:t xml:space="preserve"> para fortalecer la institucionalidad estatal con la reorganización del Estado y del Gobierno, las</w:t>
      </w:r>
      <w:r>
        <w:rPr>
          <w:rFonts w:cs="Times New Roman"/>
          <w:szCs w:val="24"/>
        </w:rPr>
        <w:t xml:space="preserve"> transformaciones en relación con el</w:t>
      </w:r>
      <w:r w:rsidRPr="00E8751B">
        <w:rPr>
          <w:rFonts w:cs="Times New Roman"/>
          <w:szCs w:val="24"/>
        </w:rPr>
        <w:t xml:space="preserve"> uso y explotación de la tierra, el ahorro de portadores energéticos y el desarrollo de inversiones industriales estratégicas en el país que permitan el desarrollo futuro. </w:t>
      </w:r>
    </w:p>
    <w:p w:rsidR="002204E0" w:rsidRPr="00E8751B" w:rsidRDefault="002204E0" w:rsidP="002204E0">
      <w:pPr>
        <w:spacing w:line="360" w:lineRule="auto"/>
        <w:ind w:left="-142" w:right="-144"/>
        <w:contextualSpacing/>
        <w:rPr>
          <w:rFonts w:cs="Times New Roman"/>
          <w:szCs w:val="24"/>
        </w:rPr>
      </w:pPr>
    </w:p>
    <w:p w:rsidR="002204E0" w:rsidRPr="007B3DF6" w:rsidRDefault="002204E0" w:rsidP="002204E0">
      <w:pPr>
        <w:spacing w:line="360" w:lineRule="auto"/>
        <w:ind w:left="-142" w:right="-144" w:firstLine="850"/>
        <w:contextualSpacing/>
        <w:rPr>
          <w:rFonts w:cs="Times New Roman"/>
          <w:szCs w:val="24"/>
        </w:rPr>
      </w:pPr>
      <w:r w:rsidRPr="00E8751B">
        <w:rPr>
          <w:rFonts w:cs="Times New Roman"/>
          <w:szCs w:val="24"/>
        </w:rPr>
        <w:t>Empero, este autor considera que t</w:t>
      </w:r>
      <w:r>
        <w:rPr>
          <w:rFonts w:cs="Times New Roman"/>
          <w:szCs w:val="24"/>
        </w:rPr>
        <w:t>odas estas formulaciones</w:t>
      </w:r>
      <w:r w:rsidRPr="00E8751B">
        <w:rPr>
          <w:rFonts w:cs="Times New Roman"/>
          <w:szCs w:val="24"/>
        </w:rPr>
        <w:t xml:space="preserve"> permiten tomar posición </w:t>
      </w:r>
      <w:r>
        <w:rPr>
          <w:rFonts w:cs="Times New Roman"/>
          <w:szCs w:val="24"/>
        </w:rPr>
        <w:t>en relación con el</w:t>
      </w:r>
      <w:r w:rsidRPr="00E8751B">
        <w:rPr>
          <w:rFonts w:cs="Times New Roman"/>
          <w:szCs w:val="24"/>
        </w:rPr>
        <w:t xml:space="preserve"> desarrollo de la forma de gestión estatal cubana con empresas amigables con el ambiente, integradoras de las políticas dentro de la actualización del modelo económico en el sector estatal cubano; donde la implementación de las herramientas de gestión en su </w:t>
      </w:r>
      <w:r w:rsidRPr="007B3DF6">
        <w:rPr>
          <w:rFonts w:cs="Times New Roman"/>
          <w:szCs w:val="24"/>
        </w:rPr>
        <w:t xml:space="preserve">conjunto por parte de la EFS y del Ministerio de </w:t>
      </w:r>
      <w:r w:rsidRPr="007B3DF6">
        <w:rPr>
          <w:rFonts w:cs="Times New Roman"/>
          <w:szCs w:val="24"/>
        </w:rPr>
        <w:lastRenderedPageBreak/>
        <w:t xml:space="preserve">Ciencias, Tecnología y Medio Ambiente juegan un rol esencial para alcanzar y garantizar el desarrollo sostenible. </w:t>
      </w:r>
    </w:p>
    <w:p w:rsidR="002204E0" w:rsidRPr="007B3DF6" w:rsidRDefault="002204E0" w:rsidP="002204E0">
      <w:pPr>
        <w:spacing w:line="360" w:lineRule="auto"/>
        <w:ind w:left="-142" w:right="-144" w:firstLine="850"/>
        <w:contextualSpacing/>
        <w:rPr>
          <w:rFonts w:cs="Times New Roman"/>
          <w:szCs w:val="24"/>
        </w:rPr>
      </w:pPr>
    </w:p>
    <w:p w:rsidR="002204E0" w:rsidRPr="007B3DF6" w:rsidRDefault="002204E0" w:rsidP="002204E0">
      <w:pPr>
        <w:spacing w:line="360" w:lineRule="auto"/>
        <w:ind w:left="-142" w:right="-144"/>
        <w:contextualSpacing/>
        <w:rPr>
          <w:rFonts w:cs="Times New Roman"/>
          <w:szCs w:val="24"/>
        </w:rPr>
      </w:pPr>
      <w:r>
        <w:rPr>
          <w:rFonts w:cs="Times New Roman"/>
          <w:szCs w:val="24"/>
        </w:rPr>
        <w:t xml:space="preserve">       </w:t>
      </w:r>
      <w:r w:rsidRPr="007B3DF6">
        <w:rPr>
          <w:rFonts w:cs="Times New Roman"/>
          <w:szCs w:val="24"/>
        </w:rPr>
        <w:t>La ejecución de la auditoría ambiental permitirá lograr empresas eficientes y competitivas en el mercado, al aplicarse los resultados de la ciencia, las tecnologías, la innovación en el cuidado de los recursos naturales, a través de acciones protectoras del entorno, del patrimonio y de la cultura de la nación cubana, a través de la Investigación+Desarrollo+Innovación, al decir de Parejo Alfonso</w:t>
      </w:r>
      <w:r w:rsidRPr="007B3DF6">
        <w:rPr>
          <w:rStyle w:val="Refdenotaalpie"/>
          <w:rFonts w:cs="Times New Roman"/>
          <w:szCs w:val="24"/>
        </w:rPr>
        <w:footnoteReference w:id="61"/>
      </w:r>
      <w:r w:rsidRPr="007B3DF6">
        <w:rPr>
          <w:rFonts w:cs="Times New Roman"/>
          <w:szCs w:val="24"/>
        </w:rPr>
        <w:t>, Antúnez Sánchez</w:t>
      </w:r>
      <w:r w:rsidRPr="007B3DF6">
        <w:rPr>
          <w:rStyle w:val="Refdenotaalpie"/>
          <w:rFonts w:cs="Times New Roman"/>
          <w:szCs w:val="24"/>
        </w:rPr>
        <w:footnoteReference w:id="62"/>
      </w:r>
      <w:r w:rsidRPr="007B3DF6">
        <w:rPr>
          <w:rFonts w:cs="Times New Roman"/>
          <w:szCs w:val="24"/>
        </w:rPr>
        <w:t>, y Lavandeira</w:t>
      </w:r>
      <w:r w:rsidRPr="007B3DF6">
        <w:rPr>
          <w:rStyle w:val="Refdenotaalpie"/>
          <w:rFonts w:cs="Times New Roman"/>
          <w:szCs w:val="24"/>
        </w:rPr>
        <w:footnoteReference w:id="63"/>
      </w:r>
      <w:r w:rsidRPr="007B3DF6">
        <w:rPr>
          <w:rFonts w:cs="Times New Roman"/>
          <w:szCs w:val="24"/>
        </w:rPr>
        <w:t xml:space="preserve">. </w:t>
      </w:r>
    </w:p>
    <w:p w:rsidR="002204E0" w:rsidRPr="007B3DF6" w:rsidRDefault="002204E0" w:rsidP="002204E0">
      <w:pPr>
        <w:spacing w:line="360" w:lineRule="auto"/>
        <w:ind w:left="-142" w:right="-144"/>
        <w:contextualSpacing/>
        <w:rPr>
          <w:rFonts w:cs="Times New Roman"/>
          <w:szCs w:val="24"/>
        </w:rPr>
      </w:pPr>
    </w:p>
    <w:p w:rsidR="002204E0" w:rsidRPr="007B3DF6" w:rsidRDefault="002204E0" w:rsidP="002204E0">
      <w:pPr>
        <w:spacing w:line="360" w:lineRule="auto"/>
        <w:ind w:left="-142" w:right="-144" w:firstLine="850"/>
        <w:contextualSpacing/>
        <w:rPr>
          <w:rFonts w:cs="Times New Roman"/>
          <w:szCs w:val="24"/>
        </w:rPr>
      </w:pPr>
      <w:r w:rsidRPr="007B3DF6">
        <w:rPr>
          <w:rFonts w:cs="Times New Roman"/>
          <w:szCs w:val="24"/>
        </w:rPr>
        <w:t xml:space="preserve">La EFS en Cuba participó en el 2014 en dos auditorías de gestión coordinada al recurso hídrico en la capital de la nación, en atención a la tendencia internacional difundida por la OLACEFS en América Latina ejecutada en el Instituto Nacional de Recursos Hidráulicos y en la Cuenca Hidrográfica Vento Almendares como los dos primeros controles en materia ambiental ejecutados por la CGR, institución jurídica dentro del derecho administrativo reconocida como dominio público. </w:t>
      </w:r>
    </w:p>
    <w:p w:rsidR="002204E0" w:rsidRPr="007B3DF6" w:rsidRDefault="002204E0" w:rsidP="002204E0">
      <w:pPr>
        <w:spacing w:line="360" w:lineRule="auto"/>
        <w:ind w:left="-142" w:right="-144"/>
        <w:contextualSpacing/>
        <w:rPr>
          <w:rFonts w:cs="Times New Roman"/>
          <w:szCs w:val="24"/>
        </w:rPr>
      </w:pPr>
    </w:p>
    <w:p w:rsidR="002204E0" w:rsidRPr="007B3DF6" w:rsidRDefault="002204E0" w:rsidP="002204E0">
      <w:pPr>
        <w:spacing w:line="360" w:lineRule="auto"/>
        <w:ind w:left="-142" w:right="-144" w:firstLine="850"/>
        <w:contextualSpacing/>
        <w:rPr>
          <w:rFonts w:cs="Times New Roman"/>
          <w:szCs w:val="24"/>
        </w:rPr>
      </w:pPr>
      <w:r w:rsidRPr="007B3DF6">
        <w:rPr>
          <w:rFonts w:cs="Times New Roman"/>
          <w:szCs w:val="24"/>
        </w:rPr>
        <w:t>Cuba como país no participó en la auditoría de seguimiento al cambio climático y a la de gestión coordinada a la biodiversidad realizada en esta región, aspectos señalados por la Contralora General Bejerano Portela</w:t>
      </w:r>
      <w:r w:rsidRPr="007B3DF6">
        <w:rPr>
          <w:rStyle w:val="Refdenotaalpie"/>
          <w:rFonts w:cs="Times New Roman"/>
          <w:szCs w:val="24"/>
        </w:rPr>
        <w:footnoteReference w:id="64"/>
      </w:r>
      <w:r w:rsidRPr="007B3DF6">
        <w:rPr>
          <w:rFonts w:cs="Times New Roman"/>
          <w:szCs w:val="24"/>
        </w:rPr>
        <w:t xml:space="preserve"> en su informe a la Asamblea Nacional en Cuba</w:t>
      </w:r>
      <w:r>
        <w:rPr>
          <w:rFonts w:cs="Times New Roman"/>
          <w:szCs w:val="24"/>
        </w:rPr>
        <w:t>, en el cua</w:t>
      </w:r>
      <w:r w:rsidRPr="007B3DF6">
        <w:rPr>
          <w:rFonts w:cs="Times New Roman"/>
          <w:szCs w:val="24"/>
        </w:rPr>
        <w:t>l se significó las deficiencias detectadas al realizar esta evaluación</w:t>
      </w:r>
      <w:r>
        <w:rPr>
          <w:rFonts w:cs="Times New Roman"/>
          <w:szCs w:val="24"/>
        </w:rPr>
        <w:t>,</w:t>
      </w:r>
      <w:r w:rsidRPr="007B3DF6">
        <w:rPr>
          <w:rFonts w:cs="Times New Roman"/>
          <w:szCs w:val="24"/>
        </w:rPr>
        <w:t xml:space="preserve"> las que signaron el incumplimiento de las políticas públicas en materia ambiental y la necesidad de renovar la legislación en materia ambiental, como elementos de prioridad. </w:t>
      </w:r>
    </w:p>
    <w:p w:rsidR="002204E0" w:rsidRPr="007B3DF6" w:rsidRDefault="002204E0" w:rsidP="002204E0">
      <w:pPr>
        <w:spacing w:line="360" w:lineRule="auto"/>
        <w:ind w:left="-142" w:right="-144" w:firstLine="850"/>
        <w:contextualSpacing/>
        <w:rPr>
          <w:rFonts w:cs="Times New Roman"/>
          <w:szCs w:val="24"/>
        </w:rPr>
      </w:pPr>
    </w:p>
    <w:p w:rsidR="002204E0" w:rsidRDefault="002204E0" w:rsidP="002204E0">
      <w:pPr>
        <w:spacing w:line="360" w:lineRule="auto"/>
        <w:ind w:left="-142" w:right="-144" w:firstLine="850"/>
        <w:contextualSpacing/>
        <w:rPr>
          <w:rFonts w:cs="Times New Roman"/>
          <w:szCs w:val="24"/>
        </w:rPr>
      </w:pPr>
      <w:r w:rsidRPr="007B3DF6">
        <w:rPr>
          <w:rFonts w:cs="Times New Roman"/>
          <w:szCs w:val="24"/>
        </w:rPr>
        <w:t xml:space="preserve">Es criterio de este autor que todo este análisis puede ser </w:t>
      </w:r>
      <w:r>
        <w:rPr>
          <w:rFonts w:cs="Times New Roman"/>
          <w:szCs w:val="24"/>
        </w:rPr>
        <w:t>tomado</w:t>
      </w:r>
      <w:r w:rsidRPr="007B3DF6">
        <w:rPr>
          <w:rFonts w:cs="Times New Roman"/>
          <w:szCs w:val="24"/>
        </w:rPr>
        <w:t xml:space="preserve"> en cuenta para realizar la auditoría de gestión coordinada a la biodiversidad y cuando se decida practicar esta tipología de auditoría a las formas de gestión del sector estatal cubano, toda vez que es la forma que mayor predominio tiene el país. </w:t>
      </w:r>
      <w:r>
        <w:rPr>
          <w:rFonts w:cs="Times New Roman"/>
          <w:szCs w:val="24"/>
        </w:rPr>
        <w:t>Que permita lograr</w:t>
      </w:r>
      <w:r w:rsidRPr="007B3DF6">
        <w:rPr>
          <w:rFonts w:cs="Times New Roman"/>
          <w:szCs w:val="24"/>
        </w:rPr>
        <w:t xml:space="preserve"> la meta hacia la sostenibilidad ambiental.</w:t>
      </w:r>
    </w:p>
    <w:p w:rsidR="00D95EE4" w:rsidRPr="007B3DF6" w:rsidRDefault="00D95EE4" w:rsidP="002204E0">
      <w:pPr>
        <w:spacing w:line="360" w:lineRule="auto"/>
        <w:ind w:left="-142" w:right="-144" w:firstLine="850"/>
        <w:contextualSpacing/>
        <w:rPr>
          <w:rFonts w:cs="Times New Roman"/>
          <w:szCs w:val="24"/>
        </w:rPr>
      </w:pPr>
    </w:p>
    <w:p w:rsidR="002204E0" w:rsidRPr="00257B3F" w:rsidRDefault="002204E0" w:rsidP="002204E0">
      <w:pPr>
        <w:spacing w:line="360" w:lineRule="auto"/>
        <w:rPr>
          <w:b/>
          <w:szCs w:val="24"/>
        </w:rPr>
      </w:pPr>
      <w:r w:rsidRPr="00257B3F">
        <w:rPr>
          <w:b/>
          <w:szCs w:val="24"/>
        </w:rPr>
        <w:t>V. A manera de conclusión</w:t>
      </w:r>
    </w:p>
    <w:p w:rsidR="002204E0" w:rsidRPr="007B3DF6" w:rsidRDefault="002204E0" w:rsidP="002204E0">
      <w:pPr>
        <w:spacing w:line="360" w:lineRule="auto"/>
        <w:ind w:left="-142" w:right="-142"/>
        <w:contextualSpacing/>
        <w:rPr>
          <w:rFonts w:cs="Times New Roman"/>
          <w:szCs w:val="24"/>
        </w:rPr>
      </w:pPr>
    </w:p>
    <w:p w:rsidR="002204E0" w:rsidRPr="007B3DF6" w:rsidRDefault="002204E0" w:rsidP="002204E0">
      <w:pPr>
        <w:spacing w:line="360" w:lineRule="auto"/>
        <w:ind w:left="-142" w:right="-142" w:firstLine="850"/>
        <w:contextualSpacing/>
        <w:rPr>
          <w:rFonts w:cs="Times New Roman"/>
          <w:szCs w:val="24"/>
        </w:rPr>
      </w:pPr>
      <w:r w:rsidRPr="007B3DF6">
        <w:rPr>
          <w:rFonts w:cs="Times New Roman"/>
          <w:szCs w:val="24"/>
        </w:rPr>
        <w:t xml:space="preserve">La auditoría ambiental emergió debido a la contaminación empresarial y su enfrentamiento por el Estado, su génesis fue la auditoría social. Se consolida posteriormente como acción de control practicada por las Entidades Fiscalizadores Superiores y las Sociedades Mercantiles, posee una construcción jurídica a partir de estar reconocida en Acuerdos y Convenios Internacionales, es introducida en los derechos internos mediante los textos constitucionales, las leyes ambientales y de contralorías, le brindan solidez y sustento para el desarrollo de políticas ambientales como una herramienta de gestión ambiental. Puede ser voluntaria u obligatoria y manifestarse como una actividad policía, un servicio público u actividad de fomento acorde a su ejecución y consecuencias. </w:t>
      </w:r>
    </w:p>
    <w:p w:rsidR="002204E0" w:rsidRPr="007B3DF6" w:rsidRDefault="002204E0" w:rsidP="002204E0">
      <w:pPr>
        <w:tabs>
          <w:tab w:val="left" w:pos="1848"/>
        </w:tabs>
        <w:spacing w:after="100" w:afterAutospacing="1" w:line="360" w:lineRule="auto"/>
        <w:ind w:left="-142" w:right="-142"/>
        <w:contextualSpacing/>
        <w:jc w:val="center"/>
        <w:rPr>
          <w:rFonts w:cs="Times New Roman"/>
          <w:szCs w:val="24"/>
        </w:rPr>
      </w:pPr>
    </w:p>
    <w:p w:rsidR="002204E0" w:rsidRPr="007B3DF6" w:rsidRDefault="002204E0" w:rsidP="002204E0">
      <w:pPr>
        <w:tabs>
          <w:tab w:val="left" w:pos="709"/>
        </w:tabs>
        <w:spacing w:after="100" w:afterAutospacing="1" w:line="360" w:lineRule="auto"/>
        <w:ind w:left="-142" w:right="-142"/>
        <w:contextualSpacing/>
        <w:rPr>
          <w:rFonts w:cs="Times New Roman"/>
          <w:szCs w:val="24"/>
        </w:rPr>
      </w:pPr>
      <w:r w:rsidRPr="007B3DF6">
        <w:rPr>
          <w:rFonts w:cs="Times New Roman"/>
          <w:szCs w:val="24"/>
        </w:rPr>
        <w:tab/>
        <w:t>La auditoría ambiental tiene un carácter multidimensional, integral y transdisciplinario, su finalidad es la evaluación de la gestión ambiental de la empresa y la certificación de producciones limpias, para realizarla</w:t>
      </w:r>
      <w:r>
        <w:rPr>
          <w:rFonts w:cs="Times New Roman"/>
          <w:szCs w:val="24"/>
        </w:rPr>
        <w:t>,</w:t>
      </w:r>
      <w:r w:rsidRPr="007B3DF6">
        <w:rPr>
          <w:rFonts w:cs="Times New Roman"/>
          <w:szCs w:val="24"/>
        </w:rPr>
        <w:t xml:space="preserve"> las entidades auditadas deben implementar la contabilidad ambiental y el tratamiento de los residuales de la producción de la empresa. Constituye un proceso integrado por fases (preparación-ejecución-conclusión)</w:t>
      </w:r>
      <w:r>
        <w:rPr>
          <w:rFonts w:cs="Times New Roman"/>
          <w:szCs w:val="24"/>
        </w:rPr>
        <w:t>,</w:t>
      </w:r>
      <w:r w:rsidRPr="007B3DF6">
        <w:rPr>
          <w:rFonts w:cs="Times New Roman"/>
          <w:szCs w:val="24"/>
        </w:rPr>
        <w:t xml:space="preserve"> cuyo procedimiento fundamental está regulado en al normas ISO y las EMAS.</w:t>
      </w:r>
    </w:p>
    <w:p w:rsidR="002204E0" w:rsidRPr="007B3DF6" w:rsidRDefault="002204E0" w:rsidP="002204E0">
      <w:pPr>
        <w:tabs>
          <w:tab w:val="left" w:pos="1848"/>
        </w:tabs>
        <w:spacing w:after="100" w:afterAutospacing="1" w:line="360" w:lineRule="auto"/>
        <w:ind w:left="-142" w:right="-142"/>
        <w:contextualSpacing/>
        <w:rPr>
          <w:rFonts w:cs="Times New Roman"/>
          <w:szCs w:val="24"/>
        </w:rPr>
      </w:pPr>
    </w:p>
    <w:p w:rsidR="002204E0" w:rsidRPr="007B3DF6" w:rsidRDefault="002204E0" w:rsidP="002204E0">
      <w:pPr>
        <w:spacing w:after="100" w:afterAutospacing="1" w:line="360" w:lineRule="auto"/>
        <w:ind w:left="-142" w:right="-142"/>
        <w:contextualSpacing/>
        <w:rPr>
          <w:rFonts w:cs="Times New Roman"/>
          <w:szCs w:val="24"/>
        </w:rPr>
      </w:pPr>
      <w:r w:rsidRPr="007B3DF6">
        <w:rPr>
          <w:rFonts w:cs="Times New Roman"/>
          <w:szCs w:val="24"/>
        </w:rPr>
        <w:tab/>
      </w:r>
      <w:r w:rsidRPr="007B3DF6">
        <w:rPr>
          <w:rFonts w:cs="Times New Roman"/>
          <w:szCs w:val="24"/>
        </w:rPr>
        <w:tab/>
        <w:t>Las insuficiencias fundamentales detectadas en torno a la ordenación jurídica de</w:t>
      </w:r>
      <w:r>
        <w:rPr>
          <w:rFonts w:cs="Times New Roman"/>
          <w:szCs w:val="24"/>
        </w:rPr>
        <w:t xml:space="preserve"> la auditoría ambiental en Cuba</w:t>
      </w:r>
      <w:r w:rsidRPr="007B3DF6">
        <w:rPr>
          <w:rFonts w:cs="Times New Roman"/>
          <w:szCs w:val="24"/>
        </w:rPr>
        <w:t xml:space="preserve"> se centran en la inexistencia de tratamiento jurídico científico, no existe un programa para esta tipología de auditoría, no se aplica la contabilidad ambiental, incoherencia por la norma que regula la auditoría estatal, falta de reconocimiento en la Ley de Medio Ambiente y en las normativas del Derecho de la Empresa, la obsolescencia tecnológica, la heterogeneidad industrial y las deficiencias en la regulación de la responsabilidad ambiental.</w:t>
      </w:r>
    </w:p>
    <w:p w:rsidR="002204E0" w:rsidRPr="007B3DF6" w:rsidRDefault="002204E0" w:rsidP="002204E0">
      <w:pPr>
        <w:tabs>
          <w:tab w:val="left" w:pos="1848"/>
        </w:tabs>
        <w:spacing w:after="100" w:afterAutospacing="1" w:line="360" w:lineRule="auto"/>
        <w:ind w:left="-142" w:right="-142"/>
        <w:contextualSpacing/>
        <w:rPr>
          <w:rFonts w:cs="Times New Roman"/>
          <w:szCs w:val="24"/>
        </w:rPr>
      </w:pPr>
    </w:p>
    <w:p w:rsidR="002204E0" w:rsidRPr="007B3DF6" w:rsidRDefault="002204E0" w:rsidP="002204E0">
      <w:pPr>
        <w:tabs>
          <w:tab w:val="left" w:pos="709"/>
        </w:tabs>
        <w:spacing w:after="100" w:afterAutospacing="1" w:line="360" w:lineRule="auto"/>
        <w:ind w:left="-142" w:right="-142"/>
        <w:contextualSpacing/>
        <w:rPr>
          <w:rFonts w:cs="Times New Roman"/>
          <w:szCs w:val="24"/>
        </w:rPr>
      </w:pPr>
      <w:r w:rsidRPr="007B3DF6">
        <w:rPr>
          <w:rFonts w:cs="Times New Roman"/>
          <w:szCs w:val="24"/>
        </w:rPr>
        <w:tab/>
        <w:t>La auditoría ambiental en su ejecución se vincula a los principios del derecho ambiental, ellos le permiten informarse en su realización como un proceso y</w:t>
      </w:r>
      <w:r>
        <w:rPr>
          <w:rFonts w:cs="Times New Roman"/>
          <w:szCs w:val="24"/>
        </w:rPr>
        <w:t>,</w:t>
      </w:r>
      <w:r w:rsidRPr="007B3DF6">
        <w:rPr>
          <w:rFonts w:cs="Times New Roman"/>
          <w:szCs w:val="24"/>
        </w:rPr>
        <w:t xml:space="preserve"> a la vez</w:t>
      </w:r>
      <w:r>
        <w:rPr>
          <w:rFonts w:cs="Times New Roman"/>
          <w:szCs w:val="24"/>
        </w:rPr>
        <w:t>,</w:t>
      </w:r>
      <w:r w:rsidRPr="007B3DF6">
        <w:rPr>
          <w:rFonts w:cs="Times New Roman"/>
          <w:szCs w:val="24"/>
        </w:rPr>
        <w:t xml:space="preserve"> un procedimiento al equipo auditor que la realiza, permite evaluar la gestión ambiental de los sujetos auditados en las formas de gestión estatal y no estatal. Certificándoles su gestión y</w:t>
      </w:r>
      <w:r>
        <w:rPr>
          <w:rFonts w:cs="Times New Roman"/>
          <w:szCs w:val="24"/>
        </w:rPr>
        <w:t>,</w:t>
      </w:r>
      <w:r w:rsidRPr="007B3DF6">
        <w:rPr>
          <w:rFonts w:cs="Times New Roman"/>
          <w:szCs w:val="24"/>
        </w:rPr>
        <w:t xml:space="preserve"> con ello</w:t>
      </w:r>
      <w:r>
        <w:rPr>
          <w:rFonts w:cs="Times New Roman"/>
          <w:szCs w:val="24"/>
        </w:rPr>
        <w:t>,</w:t>
      </w:r>
      <w:r w:rsidRPr="007B3DF6">
        <w:rPr>
          <w:rFonts w:cs="Times New Roman"/>
          <w:szCs w:val="24"/>
        </w:rPr>
        <w:t xml:space="preserve"> el aporte de valores agregados por ser más integradora, por lo cual la empresa y la industria participan en el mercado de bienes y servicios con mayor competitividad </w:t>
      </w:r>
      <w:r w:rsidRPr="007B3DF6">
        <w:rPr>
          <w:rFonts w:cs="Times New Roman"/>
          <w:szCs w:val="24"/>
        </w:rPr>
        <w:lastRenderedPageBreak/>
        <w:t>empresarial, ante barreras comerciales exigentes. Toda vez que el país está necesitado de transitar de la certificación de la calidad de los servicios hacia la certificación ambiental con la ecoetiqueta.</w:t>
      </w:r>
    </w:p>
    <w:p w:rsidR="002204E0" w:rsidRPr="007B3DF6" w:rsidRDefault="002204E0" w:rsidP="002204E0">
      <w:pPr>
        <w:spacing w:line="240" w:lineRule="auto"/>
        <w:ind w:left="-142" w:right="-144"/>
        <w:contextualSpacing/>
        <w:rPr>
          <w:rFonts w:cs="Times New Roman"/>
          <w:b/>
          <w:szCs w:val="24"/>
        </w:rPr>
      </w:pPr>
    </w:p>
    <w:p w:rsidR="002204E0" w:rsidRPr="007B3DF6" w:rsidRDefault="002204E0" w:rsidP="002204E0">
      <w:pPr>
        <w:spacing w:line="240" w:lineRule="auto"/>
        <w:ind w:left="-142" w:right="-144"/>
        <w:contextualSpacing/>
        <w:rPr>
          <w:rFonts w:cs="Times New Roman"/>
          <w:b/>
          <w:szCs w:val="24"/>
        </w:rPr>
      </w:pPr>
      <w:r w:rsidRPr="007B3DF6">
        <w:rPr>
          <w:rFonts w:cs="Times New Roman"/>
          <w:b/>
          <w:szCs w:val="24"/>
        </w:rPr>
        <w:t>VI. Fuentes de consulta</w:t>
      </w:r>
    </w:p>
    <w:p w:rsidR="002204E0" w:rsidRPr="007B3DF6" w:rsidRDefault="002204E0" w:rsidP="002204E0">
      <w:pPr>
        <w:spacing w:line="240" w:lineRule="auto"/>
        <w:ind w:left="-142" w:right="-144"/>
        <w:contextualSpacing/>
        <w:rPr>
          <w:rFonts w:cs="Times New Roman"/>
          <w:b/>
          <w:szCs w:val="24"/>
        </w:rPr>
      </w:pPr>
    </w:p>
    <w:p w:rsidR="002204E0" w:rsidRDefault="002204E0" w:rsidP="002204E0">
      <w:pPr>
        <w:spacing w:line="240" w:lineRule="auto"/>
        <w:ind w:left="-142" w:right="-144"/>
        <w:contextualSpacing/>
        <w:rPr>
          <w:rFonts w:cs="Times New Roman"/>
          <w:szCs w:val="24"/>
        </w:rPr>
      </w:pPr>
    </w:p>
    <w:p w:rsidR="002204E0" w:rsidRPr="007B3DF6" w:rsidRDefault="002204E0" w:rsidP="002204E0">
      <w:pPr>
        <w:spacing w:line="240" w:lineRule="auto"/>
        <w:ind w:left="-142" w:right="-144"/>
        <w:contextualSpacing/>
        <w:rPr>
          <w:rFonts w:cs="Times New Roman"/>
          <w:szCs w:val="24"/>
        </w:rPr>
      </w:pPr>
      <w:r w:rsidRPr="007B3DF6">
        <w:rPr>
          <w:rFonts w:cs="Times New Roman"/>
          <w:szCs w:val="24"/>
        </w:rPr>
        <w:t>Bibliográficas</w:t>
      </w:r>
    </w:p>
    <w:p w:rsidR="002204E0" w:rsidRPr="007B3DF6" w:rsidRDefault="002204E0" w:rsidP="002204E0">
      <w:pPr>
        <w:spacing w:line="240" w:lineRule="auto"/>
        <w:ind w:right="-144"/>
        <w:contextualSpacing/>
        <w:rPr>
          <w:rFonts w:cs="Times New Roman"/>
          <w:szCs w:val="24"/>
        </w:rPr>
      </w:pP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Alvarado Riquelme, M., </w:t>
      </w:r>
      <w:r w:rsidRPr="007B3DF6">
        <w:rPr>
          <w:rFonts w:ascii="Garamond" w:hAnsi="Garamond"/>
          <w:i/>
          <w:sz w:val="24"/>
          <w:szCs w:val="24"/>
        </w:rPr>
        <w:t>Teoría y práctica de la auditoría</w:t>
      </w:r>
      <w:r w:rsidRPr="007B3DF6">
        <w:rPr>
          <w:rFonts w:ascii="Garamond" w:hAnsi="Garamond"/>
          <w:sz w:val="24"/>
          <w:szCs w:val="24"/>
        </w:rPr>
        <w:t>, España,</w:t>
      </w:r>
      <w:r>
        <w:rPr>
          <w:rFonts w:ascii="Garamond" w:hAnsi="Garamond"/>
          <w:sz w:val="24"/>
          <w:szCs w:val="24"/>
        </w:rPr>
        <w:t xml:space="preserve"> </w:t>
      </w:r>
      <w:r w:rsidRPr="007B3DF6">
        <w:rPr>
          <w:rFonts w:ascii="Garamond" w:hAnsi="Garamond"/>
          <w:sz w:val="24"/>
          <w:szCs w:val="24"/>
        </w:rPr>
        <w:t>Pirámide, 2014.</w:t>
      </w:r>
    </w:p>
    <w:p w:rsidR="002204E0"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Bellotti, María, </w:t>
      </w:r>
      <w:r w:rsidRPr="007B3DF6">
        <w:rPr>
          <w:rFonts w:ascii="Garamond" w:hAnsi="Garamond"/>
          <w:i/>
          <w:sz w:val="24"/>
          <w:szCs w:val="24"/>
        </w:rPr>
        <w:t>El principio de precaución ambiental</w:t>
      </w:r>
      <w:r>
        <w:rPr>
          <w:rFonts w:ascii="Garamond" w:hAnsi="Garamond"/>
          <w:sz w:val="24"/>
          <w:szCs w:val="24"/>
        </w:rPr>
        <w:t>, Argentina, Editorial Lerner SRL</w:t>
      </w:r>
      <w:r w:rsidRPr="007B3DF6">
        <w:rPr>
          <w:rFonts w:ascii="Garamond" w:hAnsi="Garamond"/>
          <w:sz w:val="24"/>
          <w:szCs w:val="24"/>
        </w:rPr>
        <w:t>, 2006.</w:t>
      </w:r>
    </w:p>
    <w:p w:rsidR="002204E0" w:rsidRPr="00257B3F" w:rsidRDefault="002204E0" w:rsidP="007972E9">
      <w:pPr>
        <w:pStyle w:val="Prrafodelista"/>
        <w:numPr>
          <w:ilvl w:val="0"/>
          <w:numId w:val="2"/>
        </w:numPr>
        <w:spacing w:after="0" w:line="240" w:lineRule="auto"/>
        <w:ind w:left="0" w:right="-144" w:firstLine="0"/>
        <w:jc w:val="both"/>
        <w:rPr>
          <w:rFonts w:ascii="Garamond" w:hAnsi="Garamond"/>
          <w:iCs/>
          <w:sz w:val="24"/>
          <w:szCs w:val="24"/>
        </w:rPr>
      </w:pPr>
      <w:r w:rsidRPr="007B3DF6">
        <w:rPr>
          <w:rFonts w:ascii="Garamond" w:hAnsi="Garamond"/>
          <w:iCs/>
          <w:sz w:val="24"/>
          <w:szCs w:val="24"/>
        </w:rPr>
        <w:t>Besa Antunes, Paulo</w:t>
      </w:r>
      <w:r>
        <w:rPr>
          <w:rFonts w:ascii="Garamond" w:hAnsi="Garamond"/>
          <w:iCs/>
          <w:sz w:val="24"/>
          <w:szCs w:val="24"/>
        </w:rPr>
        <w:t xml:space="preserve"> de</w:t>
      </w:r>
      <w:r w:rsidRPr="007B3DF6">
        <w:rPr>
          <w:rFonts w:ascii="Garamond" w:hAnsi="Garamond"/>
          <w:iCs/>
          <w:sz w:val="24"/>
          <w:szCs w:val="24"/>
        </w:rPr>
        <w:t xml:space="preserve">, </w:t>
      </w:r>
      <w:r>
        <w:rPr>
          <w:rFonts w:ascii="Garamond" w:hAnsi="Garamond"/>
          <w:i/>
          <w:iCs/>
          <w:sz w:val="24"/>
          <w:szCs w:val="24"/>
        </w:rPr>
        <w:t>Derecho a</w:t>
      </w:r>
      <w:r w:rsidRPr="007B3DF6">
        <w:rPr>
          <w:rFonts w:ascii="Garamond" w:hAnsi="Garamond"/>
          <w:i/>
          <w:iCs/>
          <w:sz w:val="24"/>
          <w:szCs w:val="24"/>
        </w:rPr>
        <w:t>mbiental</w:t>
      </w:r>
      <w:r w:rsidRPr="007B3DF6">
        <w:rPr>
          <w:rFonts w:ascii="Garamond" w:hAnsi="Garamond"/>
          <w:iCs/>
          <w:sz w:val="24"/>
          <w:szCs w:val="24"/>
        </w:rPr>
        <w:t>, Brasil, Lumen Juris, 2011.</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Pr>
          <w:rFonts w:ascii="Garamond" w:hAnsi="Garamond"/>
          <w:sz w:val="24"/>
          <w:szCs w:val="24"/>
        </w:rPr>
        <w:t xml:space="preserve">Bustamante </w:t>
      </w:r>
      <w:r w:rsidRPr="007B3DF6">
        <w:rPr>
          <w:rFonts w:ascii="Garamond" w:hAnsi="Garamond"/>
          <w:sz w:val="24"/>
          <w:szCs w:val="24"/>
        </w:rPr>
        <w:t xml:space="preserve">Alsina, Jorge, </w:t>
      </w:r>
      <w:r w:rsidRPr="007B3DF6">
        <w:rPr>
          <w:rFonts w:ascii="Garamond" w:hAnsi="Garamond"/>
          <w:i/>
          <w:sz w:val="24"/>
          <w:szCs w:val="24"/>
        </w:rPr>
        <w:t>La ecoauditoría empresarial en la Unión Europea</w:t>
      </w:r>
      <w:r w:rsidRPr="007B3DF6">
        <w:rPr>
          <w:rFonts w:ascii="Garamond" w:hAnsi="Garamond"/>
          <w:sz w:val="24"/>
          <w:szCs w:val="24"/>
        </w:rPr>
        <w:t>, Argenti</w:t>
      </w:r>
      <w:r>
        <w:rPr>
          <w:rFonts w:ascii="Garamond" w:hAnsi="Garamond"/>
          <w:sz w:val="24"/>
          <w:szCs w:val="24"/>
        </w:rPr>
        <w:t>na, Editorial Abeledo Perrot</w:t>
      </w:r>
      <w:r w:rsidRPr="007B3DF6">
        <w:rPr>
          <w:rFonts w:ascii="Garamond" w:hAnsi="Garamond"/>
          <w:sz w:val="24"/>
          <w:szCs w:val="24"/>
        </w:rPr>
        <w:t>, 2008.</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Carmona Lara, María, </w:t>
      </w:r>
      <w:r w:rsidRPr="007B3DF6">
        <w:rPr>
          <w:rFonts w:ascii="Garamond" w:hAnsi="Garamond"/>
          <w:i/>
          <w:sz w:val="24"/>
          <w:szCs w:val="24"/>
        </w:rPr>
        <w:t>Aspectos jurídicos de la auditoría ambiental</w:t>
      </w:r>
      <w:r w:rsidRPr="007B3DF6">
        <w:rPr>
          <w:rFonts w:ascii="Garamond" w:hAnsi="Garamond"/>
          <w:sz w:val="24"/>
          <w:szCs w:val="24"/>
        </w:rPr>
        <w:t xml:space="preserve">, </w:t>
      </w:r>
      <w:r>
        <w:rPr>
          <w:rFonts w:ascii="Garamond" w:hAnsi="Garamond"/>
          <w:sz w:val="24"/>
          <w:szCs w:val="24"/>
        </w:rPr>
        <w:t xml:space="preserve">México, </w:t>
      </w:r>
      <w:r w:rsidRPr="007B3DF6">
        <w:rPr>
          <w:rFonts w:ascii="Garamond" w:hAnsi="Garamond"/>
          <w:sz w:val="24"/>
          <w:szCs w:val="24"/>
        </w:rPr>
        <w:t>UNAM, 2005.</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Demaldé, Cristina, </w:t>
      </w:r>
      <w:r w:rsidRPr="007B3DF6">
        <w:rPr>
          <w:rFonts w:ascii="Garamond" w:hAnsi="Garamond"/>
          <w:i/>
          <w:sz w:val="24"/>
          <w:szCs w:val="24"/>
        </w:rPr>
        <w:t>El principio de precaución en el daño ambiental</w:t>
      </w:r>
      <w:r w:rsidRPr="007B3DF6">
        <w:rPr>
          <w:rFonts w:ascii="Garamond" w:hAnsi="Garamond"/>
          <w:sz w:val="24"/>
          <w:szCs w:val="24"/>
        </w:rPr>
        <w:t>, México</w:t>
      </w:r>
      <w:r>
        <w:rPr>
          <w:rFonts w:ascii="Garamond" w:hAnsi="Garamond"/>
          <w:sz w:val="24"/>
          <w:szCs w:val="24"/>
        </w:rPr>
        <w:t>, UNAM</w:t>
      </w:r>
      <w:r w:rsidRPr="007B3DF6">
        <w:rPr>
          <w:rFonts w:ascii="Garamond" w:hAnsi="Garamond"/>
          <w:sz w:val="24"/>
          <w:szCs w:val="24"/>
        </w:rPr>
        <w:t>, 2011.</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iCs/>
          <w:sz w:val="24"/>
          <w:szCs w:val="24"/>
        </w:rPr>
        <w:t xml:space="preserve">Fernández de Gatta Sánchez, </w:t>
      </w:r>
      <w:r w:rsidRPr="007B3DF6">
        <w:rPr>
          <w:rFonts w:ascii="Garamond" w:hAnsi="Garamond"/>
          <w:i/>
          <w:iCs/>
          <w:sz w:val="24"/>
          <w:szCs w:val="24"/>
        </w:rPr>
        <w:t>Las auditorías ambientales</w:t>
      </w:r>
      <w:r w:rsidRPr="007B3DF6">
        <w:rPr>
          <w:rFonts w:ascii="Garamond" w:hAnsi="Garamond"/>
          <w:iCs/>
          <w:sz w:val="24"/>
          <w:szCs w:val="24"/>
        </w:rPr>
        <w:t>, España, Editorial Tirant lo Blanch, 2008.</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Gómez Orea, Domingo, </w:t>
      </w:r>
      <w:r w:rsidRPr="007B3DF6">
        <w:rPr>
          <w:rFonts w:ascii="Garamond" w:hAnsi="Garamond"/>
          <w:i/>
          <w:sz w:val="24"/>
          <w:szCs w:val="24"/>
        </w:rPr>
        <w:t>Auditoría ambiental: un instrumento de gestión en la empresa</w:t>
      </w:r>
      <w:r w:rsidRPr="007B3DF6">
        <w:rPr>
          <w:rFonts w:ascii="Garamond" w:hAnsi="Garamond"/>
          <w:sz w:val="24"/>
          <w:szCs w:val="24"/>
        </w:rPr>
        <w:t>, España, Agrícola Española, 1994.</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Jaquenod de Zögön, Silvia, </w:t>
      </w:r>
      <w:r w:rsidRPr="007B3DF6">
        <w:rPr>
          <w:rFonts w:ascii="Garamond" w:hAnsi="Garamond"/>
          <w:i/>
          <w:sz w:val="24"/>
          <w:szCs w:val="24"/>
        </w:rPr>
        <w:t>El derecho ambiental y sus principios rectores</w:t>
      </w:r>
      <w:r>
        <w:rPr>
          <w:rFonts w:ascii="Garamond" w:hAnsi="Garamond"/>
          <w:sz w:val="24"/>
          <w:szCs w:val="24"/>
        </w:rPr>
        <w:t xml:space="preserve">, España, </w:t>
      </w:r>
      <w:r w:rsidRPr="007B3DF6">
        <w:rPr>
          <w:rFonts w:ascii="Garamond" w:hAnsi="Garamond"/>
          <w:sz w:val="24"/>
          <w:szCs w:val="24"/>
        </w:rPr>
        <w:t>D</w:t>
      </w:r>
      <w:r>
        <w:rPr>
          <w:rFonts w:ascii="Garamond" w:hAnsi="Garamond"/>
          <w:sz w:val="24"/>
          <w:szCs w:val="24"/>
        </w:rPr>
        <w:t>y</w:t>
      </w:r>
      <w:r w:rsidRPr="007B3DF6">
        <w:rPr>
          <w:rFonts w:ascii="Garamond" w:hAnsi="Garamond"/>
          <w:sz w:val="24"/>
          <w:szCs w:val="24"/>
        </w:rPr>
        <w:t>kinson, 1991.</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Lorenzetti, Ricardo, </w:t>
      </w:r>
      <w:r w:rsidRPr="007B3DF6">
        <w:rPr>
          <w:rFonts w:ascii="Garamond" w:hAnsi="Garamond"/>
          <w:i/>
          <w:sz w:val="24"/>
          <w:szCs w:val="24"/>
        </w:rPr>
        <w:t>Teoría del derecho ambiental</w:t>
      </w:r>
      <w:r w:rsidRPr="007B3DF6">
        <w:rPr>
          <w:rFonts w:ascii="Garamond" w:hAnsi="Garamond"/>
          <w:sz w:val="24"/>
          <w:szCs w:val="24"/>
        </w:rPr>
        <w:t>, México, Porrúa, 2008.</w:t>
      </w:r>
    </w:p>
    <w:p w:rsidR="002204E0" w:rsidRPr="007B3DF6" w:rsidRDefault="002204E0" w:rsidP="007972E9">
      <w:pPr>
        <w:pStyle w:val="Prrafodelista"/>
        <w:numPr>
          <w:ilvl w:val="0"/>
          <w:numId w:val="2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Lozano Cutanda, Blanca, </w:t>
      </w:r>
      <w:r w:rsidRPr="007B3DF6">
        <w:rPr>
          <w:rFonts w:ascii="Garamond" w:hAnsi="Garamond"/>
          <w:i/>
          <w:sz w:val="24"/>
          <w:szCs w:val="24"/>
        </w:rPr>
        <w:t>Manual de derecho ambiental administrativo</w:t>
      </w:r>
      <w:r w:rsidRPr="007B3DF6">
        <w:rPr>
          <w:rFonts w:ascii="Garamond" w:hAnsi="Garamond"/>
          <w:sz w:val="24"/>
          <w:szCs w:val="24"/>
        </w:rPr>
        <w:t>, 3</w:t>
      </w:r>
      <w:r>
        <w:rPr>
          <w:rFonts w:ascii="Garamond" w:hAnsi="Garamond"/>
          <w:sz w:val="24"/>
          <w:szCs w:val="24"/>
          <w:vertAlign w:val="superscript"/>
        </w:rPr>
        <w:t>a</w:t>
      </w:r>
      <w:r>
        <w:rPr>
          <w:rFonts w:ascii="Garamond" w:hAnsi="Garamond"/>
          <w:sz w:val="24"/>
          <w:szCs w:val="24"/>
        </w:rPr>
        <w:t xml:space="preserve"> ed.</w:t>
      </w:r>
      <w:r w:rsidRPr="007B3DF6">
        <w:rPr>
          <w:rFonts w:ascii="Garamond" w:hAnsi="Garamond"/>
          <w:sz w:val="24"/>
          <w:szCs w:val="24"/>
        </w:rPr>
        <w:t>, España, Dykinson, 2003.</w:t>
      </w:r>
    </w:p>
    <w:p w:rsidR="002204E0" w:rsidRPr="007B3DF6" w:rsidRDefault="002204E0" w:rsidP="007972E9">
      <w:pPr>
        <w:pStyle w:val="Prrafodelista"/>
        <w:widowControl w:val="0"/>
        <w:numPr>
          <w:ilvl w:val="0"/>
          <w:numId w:val="21"/>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_____________, </w:t>
      </w:r>
      <w:r w:rsidRPr="007B3DF6">
        <w:rPr>
          <w:rFonts w:ascii="Garamond" w:hAnsi="Garamond"/>
          <w:i/>
          <w:iCs/>
          <w:sz w:val="24"/>
          <w:szCs w:val="24"/>
        </w:rPr>
        <w:t>Tratado de derecho ambiental</w:t>
      </w:r>
      <w:r w:rsidRPr="007B3DF6">
        <w:rPr>
          <w:rFonts w:ascii="Garamond" w:hAnsi="Garamond"/>
          <w:iCs/>
          <w:sz w:val="24"/>
          <w:szCs w:val="24"/>
        </w:rPr>
        <w:t>, España, Editorial CEF, 2015.</w:t>
      </w:r>
    </w:p>
    <w:p w:rsidR="002204E0" w:rsidRPr="007B3DF6" w:rsidRDefault="002204E0" w:rsidP="007972E9">
      <w:pPr>
        <w:pStyle w:val="Prrafodelista"/>
        <w:numPr>
          <w:ilvl w:val="0"/>
          <w:numId w:val="18"/>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Martín Mateo, Ramón, </w:t>
      </w:r>
      <w:r w:rsidRPr="007B3DF6">
        <w:rPr>
          <w:rFonts w:ascii="Garamond" w:hAnsi="Garamond"/>
          <w:i/>
          <w:sz w:val="24"/>
          <w:szCs w:val="24"/>
        </w:rPr>
        <w:t>Tratado de derecho ambiental</w:t>
      </w:r>
      <w:r w:rsidRPr="007B3DF6">
        <w:rPr>
          <w:rFonts w:ascii="Garamond" w:hAnsi="Garamond"/>
          <w:sz w:val="24"/>
          <w:szCs w:val="24"/>
        </w:rPr>
        <w:t>, España,</w:t>
      </w:r>
      <w:r>
        <w:rPr>
          <w:rFonts w:ascii="Garamond" w:hAnsi="Garamond"/>
          <w:sz w:val="24"/>
          <w:szCs w:val="24"/>
        </w:rPr>
        <w:t xml:space="preserve"> Trivium, 1991, v. I.</w:t>
      </w:r>
    </w:p>
    <w:p w:rsidR="002204E0" w:rsidRPr="007B3DF6" w:rsidRDefault="002204E0" w:rsidP="007972E9">
      <w:pPr>
        <w:pStyle w:val="Prrafodelista"/>
        <w:numPr>
          <w:ilvl w:val="0"/>
          <w:numId w:val="18"/>
        </w:numPr>
        <w:spacing w:after="0" w:line="240" w:lineRule="auto"/>
        <w:ind w:left="284" w:right="-144" w:hanging="284"/>
        <w:jc w:val="both"/>
        <w:rPr>
          <w:rFonts w:ascii="Garamond" w:hAnsi="Garamond"/>
          <w:sz w:val="24"/>
          <w:szCs w:val="24"/>
        </w:rPr>
      </w:pPr>
      <w:r w:rsidRPr="007B3DF6">
        <w:rPr>
          <w:rFonts w:ascii="Garamond" w:hAnsi="Garamond"/>
          <w:iCs/>
          <w:sz w:val="24"/>
          <w:szCs w:val="24"/>
        </w:rPr>
        <w:t xml:space="preserve">___________, </w:t>
      </w:r>
      <w:r w:rsidRPr="007B3DF6">
        <w:rPr>
          <w:rFonts w:ascii="Garamond" w:hAnsi="Garamond"/>
          <w:i/>
          <w:iCs/>
          <w:sz w:val="24"/>
          <w:szCs w:val="24"/>
        </w:rPr>
        <w:t>El etiquetado ecológico, nuevo instrumento para la tutela ambiental</w:t>
      </w:r>
      <w:r w:rsidRPr="007B3DF6">
        <w:rPr>
          <w:rFonts w:ascii="Garamond" w:hAnsi="Garamond"/>
          <w:iCs/>
          <w:sz w:val="24"/>
          <w:szCs w:val="24"/>
        </w:rPr>
        <w:t>, España, Trivium, 1994.</w:t>
      </w:r>
    </w:p>
    <w:p w:rsidR="002204E0" w:rsidRPr="007B3DF6" w:rsidRDefault="002204E0" w:rsidP="007972E9">
      <w:pPr>
        <w:pStyle w:val="Prrafodelista"/>
        <w:widowControl w:val="0"/>
        <w:numPr>
          <w:ilvl w:val="0"/>
          <w:numId w:val="15"/>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Murad Robles, Pedro, </w:t>
      </w:r>
      <w:r w:rsidRPr="007B3DF6">
        <w:rPr>
          <w:rFonts w:ascii="Garamond" w:hAnsi="Garamond"/>
          <w:i/>
          <w:iCs/>
          <w:sz w:val="24"/>
          <w:szCs w:val="24"/>
        </w:rPr>
        <w:t>La auditoría ambiental voluntaria</w:t>
      </w:r>
      <w:r>
        <w:rPr>
          <w:rFonts w:ascii="Garamond" w:hAnsi="Garamond"/>
          <w:iCs/>
          <w:sz w:val="24"/>
          <w:szCs w:val="24"/>
        </w:rPr>
        <w:t>, México</w:t>
      </w:r>
      <w:r w:rsidRPr="007B3DF6">
        <w:rPr>
          <w:rFonts w:ascii="Garamond" w:hAnsi="Garamond"/>
          <w:iCs/>
          <w:sz w:val="24"/>
          <w:szCs w:val="24"/>
        </w:rPr>
        <w:t>, Instituto Nacional de Ecología-Semarnat, 2009.</w:t>
      </w:r>
    </w:p>
    <w:p w:rsidR="002204E0" w:rsidRPr="0049161C" w:rsidRDefault="002204E0" w:rsidP="007972E9">
      <w:pPr>
        <w:pStyle w:val="Prrafodelista"/>
        <w:widowControl w:val="0"/>
        <w:numPr>
          <w:ilvl w:val="0"/>
          <w:numId w:val="15"/>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Nogueira López, Alba, </w:t>
      </w:r>
      <w:r w:rsidRPr="007B3DF6">
        <w:rPr>
          <w:rFonts w:ascii="Garamond" w:hAnsi="Garamond"/>
          <w:i/>
          <w:iCs/>
          <w:sz w:val="24"/>
          <w:szCs w:val="24"/>
        </w:rPr>
        <w:t>Ecoauditorías, intervención pública ambiental y autocontrol empresarial,</w:t>
      </w:r>
      <w:r w:rsidRPr="007B3DF6">
        <w:rPr>
          <w:rFonts w:ascii="Garamond" w:hAnsi="Garamond"/>
          <w:iCs/>
          <w:sz w:val="24"/>
          <w:szCs w:val="24"/>
        </w:rPr>
        <w:t xml:space="preserve"> España,</w:t>
      </w:r>
      <w:r w:rsidRPr="0049161C">
        <w:rPr>
          <w:rFonts w:ascii="Garamond" w:hAnsi="Garamond"/>
          <w:iCs/>
          <w:sz w:val="24"/>
          <w:szCs w:val="24"/>
        </w:rPr>
        <w:t xml:space="preserve"> Marcial Pons, 2000.</w:t>
      </w:r>
      <w:r>
        <w:rPr>
          <w:rFonts w:ascii="Garamond" w:hAnsi="Garamond"/>
          <w:iCs/>
          <w:sz w:val="24"/>
          <w:szCs w:val="24"/>
        </w:rPr>
        <w:t xml:space="preserve"> </w:t>
      </w:r>
    </w:p>
    <w:p w:rsidR="002204E0" w:rsidRPr="007B3DF6" w:rsidRDefault="002204E0" w:rsidP="007972E9">
      <w:pPr>
        <w:pStyle w:val="Prrafodelista"/>
        <w:numPr>
          <w:ilvl w:val="0"/>
          <w:numId w:val="11"/>
        </w:numPr>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Parejo Alfonso, Luciano, </w:t>
      </w:r>
      <w:r w:rsidRPr="007B3DF6">
        <w:rPr>
          <w:rFonts w:ascii="Garamond" w:hAnsi="Garamond"/>
          <w:i/>
          <w:iCs/>
          <w:sz w:val="24"/>
          <w:szCs w:val="24"/>
        </w:rPr>
        <w:t>El derecho al medio ambiente y la actuación de la administración pública</w:t>
      </w:r>
      <w:r w:rsidRPr="007B3DF6">
        <w:rPr>
          <w:rFonts w:ascii="Garamond" w:hAnsi="Garamond"/>
          <w:iCs/>
          <w:sz w:val="24"/>
          <w:szCs w:val="24"/>
        </w:rPr>
        <w:t>, España, Aranzadi, 2013.</w:t>
      </w:r>
    </w:p>
    <w:p w:rsidR="002204E0" w:rsidRPr="007B3DF6" w:rsidRDefault="002204E0" w:rsidP="007972E9">
      <w:pPr>
        <w:pStyle w:val="Prrafodelista"/>
        <w:numPr>
          <w:ilvl w:val="0"/>
          <w:numId w:val="10"/>
        </w:numPr>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__________, </w:t>
      </w:r>
      <w:r>
        <w:rPr>
          <w:rFonts w:ascii="Garamond" w:hAnsi="Garamond"/>
          <w:i/>
          <w:iCs/>
          <w:sz w:val="24"/>
          <w:szCs w:val="24"/>
        </w:rPr>
        <w:t>El d</w:t>
      </w:r>
      <w:r w:rsidRPr="007B3DF6">
        <w:rPr>
          <w:rFonts w:ascii="Garamond" w:hAnsi="Garamond"/>
          <w:i/>
          <w:iCs/>
          <w:sz w:val="24"/>
          <w:szCs w:val="24"/>
        </w:rPr>
        <w:t>erecho ante la innovación y los riesgos derivados del cambio climático,</w:t>
      </w:r>
      <w:r w:rsidRPr="007B3DF6">
        <w:rPr>
          <w:rFonts w:ascii="Garamond" w:hAnsi="Garamond"/>
          <w:iCs/>
          <w:sz w:val="24"/>
          <w:szCs w:val="24"/>
        </w:rPr>
        <w:t xml:space="preserve"> España, Tiran lo Blanch, 2015.</w:t>
      </w:r>
    </w:p>
    <w:p w:rsidR="002204E0" w:rsidRPr="007B3DF6" w:rsidRDefault="002204E0" w:rsidP="007972E9">
      <w:pPr>
        <w:pStyle w:val="Prrafodelista"/>
        <w:widowControl w:val="0"/>
        <w:numPr>
          <w:ilvl w:val="0"/>
          <w:numId w:val="9"/>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Rinaldi, Gustavo, </w:t>
      </w:r>
      <w:r w:rsidRPr="007B3DF6">
        <w:rPr>
          <w:rFonts w:ascii="Garamond" w:hAnsi="Garamond"/>
          <w:i/>
          <w:iCs/>
          <w:sz w:val="24"/>
          <w:szCs w:val="24"/>
        </w:rPr>
        <w:t>La evaluación del impacto ambiental estratégica</w:t>
      </w:r>
      <w:r w:rsidRPr="007B3DF6">
        <w:rPr>
          <w:rFonts w:ascii="Garamond" w:hAnsi="Garamond"/>
          <w:iCs/>
          <w:sz w:val="24"/>
          <w:szCs w:val="24"/>
        </w:rPr>
        <w:t>, Argentina, PNUMA-ONU, 2013.</w:t>
      </w:r>
    </w:p>
    <w:p w:rsidR="002204E0" w:rsidRPr="007B3DF6" w:rsidRDefault="002204E0" w:rsidP="007972E9">
      <w:pPr>
        <w:pStyle w:val="Prrafodelista"/>
        <w:widowControl w:val="0"/>
        <w:numPr>
          <w:ilvl w:val="0"/>
          <w:numId w:val="7"/>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Sanz Rubiales, Iñigo, </w:t>
      </w:r>
      <w:r w:rsidRPr="007B3DF6">
        <w:rPr>
          <w:rFonts w:ascii="Garamond" w:hAnsi="Garamond"/>
          <w:i/>
          <w:iCs/>
          <w:sz w:val="24"/>
          <w:szCs w:val="24"/>
        </w:rPr>
        <w:t>El mercado de los derechos a contaminar</w:t>
      </w:r>
      <w:r w:rsidRPr="007B3DF6">
        <w:rPr>
          <w:rFonts w:ascii="Garamond" w:hAnsi="Garamond"/>
          <w:iCs/>
          <w:sz w:val="24"/>
          <w:szCs w:val="24"/>
        </w:rPr>
        <w:t>, España,</w:t>
      </w:r>
      <w:r>
        <w:rPr>
          <w:rFonts w:ascii="Garamond" w:hAnsi="Garamond"/>
          <w:iCs/>
          <w:sz w:val="24"/>
          <w:szCs w:val="24"/>
        </w:rPr>
        <w:t xml:space="preserve"> </w:t>
      </w:r>
      <w:r w:rsidRPr="007B3DF6">
        <w:rPr>
          <w:rFonts w:ascii="Garamond" w:hAnsi="Garamond"/>
          <w:iCs/>
          <w:sz w:val="24"/>
          <w:szCs w:val="24"/>
        </w:rPr>
        <w:t>Lex Nova, 2012.</w:t>
      </w:r>
    </w:p>
    <w:p w:rsidR="002204E0" w:rsidRPr="007B3DF6" w:rsidRDefault="002204E0" w:rsidP="007972E9">
      <w:pPr>
        <w:pStyle w:val="Prrafodelista"/>
        <w:numPr>
          <w:ilvl w:val="0"/>
          <w:numId w:val="6"/>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Sanz Larruga, Francisco, </w:t>
      </w:r>
      <w:r w:rsidRPr="007B3DF6">
        <w:rPr>
          <w:rFonts w:ascii="Garamond" w:hAnsi="Garamond"/>
          <w:i/>
          <w:sz w:val="24"/>
          <w:szCs w:val="24"/>
        </w:rPr>
        <w:t>El concepto de responsabilidad compartida y el principio de subsidiariedad en el derecho ambiental,</w:t>
      </w:r>
      <w:r w:rsidRPr="007B3DF6">
        <w:rPr>
          <w:rFonts w:ascii="Garamond" w:hAnsi="Garamond"/>
          <w:sz w:val="24"/>
          <w:szCs w:val="24"/>
        </w:rPr>
        <w:t xml:space="preserve"> España, Editorial Instituto de Estudios de la Administración Local, 2009.</w:t>
      </w:r>
    </w:p>
    <w:p w:rsidR="002204E0" w:rsidRPr="007B3DF6" w:rsidRDefault="002204E0" w:rsidP="002204E0">
      <w:pPr>
        <w:ind w:right="-144"/>
        <w:rPr>
          <w:szCs w:val="24"/>
        </w:rPr>
      </w:pPr>
    </w:p>
    <w:p w:rsidR="002204E0" w:rsidRPr="007B3DF6" w:rsidRDefault="002204E0" w:rsidP="002204E0">
      <w:pPr>
        <w:ind w:right="-144"/>
        <w:rPr>
          <w:szCs w:val="24"/>
        </w:rPr>
      </w:pPr>
      <w:r>
        <w:rPr>
          <w:szCs w:val="24"/>
        </w:rPr>
        <w:t>Hemerográficas</w:t>
      </w:r>
    </w:p>
    <w:p w:rsidR="002204E0" w:rsidRPr="0049161C" w:rsidRDefault="002204E0" w:rsidP="007972E9">
      <w:pPr>
        <w:pStyle w:val="Prrafodelista"/>
        <w:numPr>
          <w:ilvl w:val="0"/>
          <w:numId w:val="2"/>
        </w:numPr>
        <w:spacing w:after="0" w:line="240" w:lineRule="auto"/>
        <w:ind w:left="284" w:right="-144" w:hanging="284"/>
        <w:jc w:val="both"/>
        <w:rPr>
          <w:rFonts w:ascii="Garamond" w:hAnsi="Garamond"/>
          <w:sz w:val="24"/>
          <w:szCs w:val="24"/>
          <w:u w:val="single"/>
        </w:rPr>
      </w:pPr>
      <w:r w:rsidRPr="007B3DF6">
        <w:rPr>
          <w:rFonts w:ascii="Garamond" w:hAnsi="Garamond"/>
          <w:sz w:val="24"/>
          <w:szCs w:val="24"/>
        </w:rPr>
        <w:lastRenderedPageBreak/>
        <w:t>Antú</w:t>
      </w:r>
      <w:r>
        <w:rPr>
          <w:rFonts w:ascii="Garamond" w:hAnsi="Garamond"/>
          <w:sz w:val="24"/>
          <w:szCs w:val="24"/>
        </w:rPr>
        <w:t>nez Sánchez, Alcides Francisco, “</w:t>
      </w:r>
      <w:r w:rsidRPr="0049161C">
        <w:rPr>
          <w:rFonts w:ascii="Garamond" w:hAnsi="Garamond"/>
          <w:sz w:val="24"/>
          <w:szCs w:val="24"/>
        </w:rPr>
        <w:t>Disquisiciones teóricas, doctrinales y exegéticas sobre la praxis de la auditoría como función pública, dirigida a la protección del bien público ambiental para la empresa ecológica</w:t>
      </w:r>
      <w:r>
        <w:rPr>
          <w:rFonts w:ascii="Garamond" w:hAnsi="Garamond"/>
          <w:sz w:val="24"/>
          <w:szCs w:val="24"/>
        </w:rPr>
        <w:t>”</w:t>
      </w:r>
      <w:r w:rsidRPr="0049161C">
        <w:rPr>
          <w:rFonts w:ascii="Garamond" w:hAnsi="Garamond"/>
          <w:sz w:val="24"/>
          <w:szCs w:val="24"/>
        </w:rPr>
        <w:t xml:space="preserve">, </w:t>
      </w:r>
      <w:r w:rsidRPr="0049161C">
        <w:rPr>
          <w:rFonts w:ascii="Garamond" w:hAnsi="Garamond"/>
          <w:i/>
          <w:sz w:val="24"/>
          <w:szCs w:val="24"/>
        </w:rPr>
        <w:t>Revista Dos Tribunais</w:t>
      </w:r>
      <w:r>
        <w:rPr>
          <w:rFonts w:ascii="Garamond" w:hAnsi="Garamond"/>
          <w:sz w:val="24"/>
          <w:szCs w:val="24"/>
        </w:rPr>
        <w:t>, núm.</w:t>
      </w:r>
      <w:r w:rsidRPr="007B3DF6">
        <w:rPr>
          <w:rFonts w:ascii="Garamond" w:hAnsi="Garamond"/>
          <w:sz w:val="24"/>
          <w:szCs w:val="24"/>
        </w:rPr>
        <w:t xml:space="preserve"> 951, Brasil, 2015.</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____________,</w:t>
      </w:r>
      <w:r w:rsidRPr="007B3DF6">
        <w:rPr>
          <w:rFonts w:ascii="Garamond" w:hAnsi="Garamond"/>
          <w:i/>
          <w:sz w:val="24"/>
          <w:szCs w:val="24"/>
        </w:rPr>
        <w:t xml:space="preserve"> </w:t>
      </w:r>
      <w:r>
        <w:rPr>
          <w:rFonts w:ascii="Garamond" w:hAnsi="Garamond"/>
          <w:i/>
          <w:sz w:val="24"/>
          <w:szCs w:val="24"/>
        </w:rPr>
        <w:t>“</w:t>
      </w:r>
      <w:r w:rsidRPr="0049161C">
        <w:rPr>
          <w:rFonts w:ascii="Garamond" w:hAnsi="Garamond"/>
          <w:sz w:val="24"/>
          <w:szCs w:val="24"/>
        </w:rPr>
        <w:t>La auditoría ambiental, la industria amigable con el ambiente y el desarrollo sostenible</w:t>
      </w:r>
      <w:r>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Cofín Habana</w:t>
      </w:r>
      <w:r w:rsidRPr="007B3DF6">
        <w:rPr>
          <w:rFonts w:ascii="Garamond" w:hAnsi="Garamond"/>
          <w:sz w:val="24"/>
          <w:szCs w:val="24"/>
        </w:rPr>
        <w:t xml:space="preserve">, </w:t>
      </w:r>
      <w:r>
        <w:rPr>
          <w:rFonts w:ascii="Garamond" w:hAnsi="Garamond"/>
          <w:sz w:val="24"/>
          <w:szCs w:val="24"/>
        </w:rPr>
        <w:t>núm.</w:t>
      </w:r>
      <w:r w:rsidRPr="007B3DF6">
        <w:rPr>
          <w:rFonts w:ascii="Garamond" w:hAnsi="Garamond"/>
          <w:sz w:val="24"/>
          <w:szCs w:val="24"/>
        </w:rPr>
        <w:t xml:space="preserve"> 2, Cuba, 2015.</w:t>
      </w:r>
    </w:p>
    <w:p w:rsidR="002204E0" w:rsidRPr="0049161C"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i/>
          <w:sz w:val="24"/>
          <w:szCs w:val="24"/>
        </w:rPr>
        <w:t xml:space="preserve">____________, </w:t>
      </w:r>
      <w:r>
        <w:rPr>
          <w:rFonts w:ascii="Garamond" w:hAnsi="Garamond"/>
          <w:i/>
          <w:sz w:val="24"/>
          <w:szCs w:val="24"/>
        </w:rPr>
        <w:t>“</w:t>
      </w:r>
      <w:r w:rsidRPr="0049161C">
        <w:rPr>
          <w:rFonts w:ascii="Garamond" w:hAnsi="Garamond"/>
          <w:sz w:val="24"/>
          <w:szCs w:val="24"/>
        </w:rPr>
        <w:t>La auditoría ambiental, nexo con la empresa amigable con el ambiente. Desarrollo sostenible</w:t>
      </w:r>
      <w:r>
        <w:rPr>
          <w:rFonts w:ascii="Garamond" w:hAnsi="Garamond"/>
          <w:sz w:val="24"/>
          <w:szCs w:val="24"/>
        </w:rPr>
        <w:t>”</w:t>
      </w:r>
      <w:r w:rsidRPr="0049161C">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de Auditoría Pública, Órganos Autonómicos de Control Público</w:t>
      </w:r>
      <w:r>
        <w:rPr>
          <w:rFonts w:ascii="Garamond" w:hAnsi="Garamond"/>
          <w:sz w:val="24"/>
          <w:szCs w:val="24"/>
        </w:rPr>
        <w:t>, núm.</w:t>
      </w:r>
      <w:r w:rsidRPr="007B3DF6">
        <w:rPr>
          <w:rFonts w:ascii="Garamond" w:hAnsi="Garamond"/>
          <w:sz w:val="24"/>
          <w:szCs w:val="24"/>
        </w:rPr>
        <w:t xml:space="preserve"> 65, España, 2015. </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_____________,</w:t>
      </w:r>
      <w:r>
        <w:rPr>
          <w:rFonts w:ascii="Garamond" w:hAnsi="Garamond"/>
          <w:sz w:val="24"/>
          <w:szCs w:val="24"/>
        </w:rPr>
        <w:t xml:space="preserve"> “</w:t>
      </w:r>
      <w:r w:rsidRPr="0049161C">
        <w:rPr>
          <w:rFonts w:ascii="Garamond" w:hAnsi="Garamond"/>
          <w:sz w:val="24"/>
          <w:szCs w:val="24"/>
        </w:rPr>
        <w:t>La auditoría ambiental practicada por la Contraloría General de la República de Cuba. Las formas de actividad administrativa en la actualización del modelo económico cubano para el futuro ordenamiento jurídico en el desarrollo del derecho ambiental patrio</w:t>
      </w:r>
      <w:r>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Temas Socio-Jurídicos</w:t>
      </w:r>
      <w:r w:rsidRPr="007B3DF6">
        <w:rPr>
          <w:rFonts w:ascii="Garamond" w:hAnsi="Garamond"/>
          <w:sz w:val="24"/>
          <w:szCs w:val="24"/>
        </w:rPr>
        <w:t xml:space="preserve">, </w:t>
      </w:r>
      <w:r>
        <w:rPr>
          <w:rFonts w:ascii="Garamond" w:hAnsi="Garamond"/>
          <w:sz w:val="24"/>
          <w:szCs w:val="24"/>
        </w:rPr>
        <w:t>núm.</w:t>
      </w:r>
      <w:r w:rsidRPr="007B3DF6">
        <w:rPr>
          <w:rFonts w:ascii="Garamond" w:hAnsi="Garamond"/>
          <w:sz w:val="24"/>
          <w:szCs w:val="24"/>
        </w:rPr>
        <w:t xml:space="preserve"> 68, Colombia, 2015.</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____________,</w:t>
      </w:r>
      <w:r w:rsidRPr="007B3DF6">
        <w:rPr>
          <w:rFonts w:ascii="Garamond" w:hAnsi="Garamond"/>
          <w:sz w:val="24"/>
          <w:szCs w:val="24"/>
        </w:rPr>
        <w:tab/>
      </w:r>
      <w:r>
        <w:rPr>
          <w:rFonts w:ascii="Garamond" w:hAnsi="Garamond"/>
          <w:sz w:val="24"/>
          <w:szCs w:val="24"/>
        </w:rPr>
        <w:t>“La auditoría ambiental: u</w:t>
      </w:r>
      <w:r w:rsidRPr="0049161C">
        <w:rPr>
          <w:rFonts w:ascii="Garamond" w:hAnsi="Garamond"/>
          <w:sz w:val="24"/>
          <w:szCs w:val="24"/>
        </w:rPr>
        <w:t>na revisión y propuestas en clave de su función pública y dimensión empresarial</w:t>
      </w:r>
      <w:r>
        <w:rPr>
          <w:rFonts w:ascii="Garamond" w:hAnsi="Garamond"/>
          <w:sz w:val="24"/>
          <w:szCs w:val="24"/>
        </w:rPr>
        <w:t>”</w:t>
      </w:r>
      <w:r w:rsidRPr="0049161C">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I</w:t>
      </w:r>
      <w:r>
        <w:rPr>
          <w:rFonts w:ascii="Garamond" w:hAnsi="Garamond"/>
          <w:i/>
          <w:sz w:val="24"/>
          <w:szCs w:val="24"/>
        </w:rPr>
        <w:t>beroamericana de Contabilidad de G</w:t>
      </w:r>
      <w:r w:rsidRPr="0049161C">
        <w:rPr>
          <w:rFonts w:ascii="Garamond" w:hAnsi="Garamond"/>
          <w:i/>
          <w:sz w:val="24"/>
          <w:szCs w:val="24"/>
        </w:rPr>
        <w:t>estión</w:t>
      </w:r>
      <w:r w:rsidRPr="007B3DF6">
        <w:rPr>
          <w:rFonts w:ascii="Garamond" w:hAnsi="Garamond"/>
          <w:sz w:val="24"/>
          <w:szCs w:val="24"/>
        </w:rPr>
        <w:t xml:space="preserve">, </w:t>
      </w:r>
      <w:r>
        <w:rPr>
          <w:rFonts w:ascii="Garamond" w:hAnsi="Garamond"/>
          <w:sz w:val="24"/>
          <w:szCs w:val="24"/>
        </w:rPr>
        <w:t>núm.</w:t>
      </w:r>
      <w:r w:rsidRPr="007B3DF6">
        <w:rPr>
          <w:rFonts w:ascii="Garamond" w:hAnsi="Garamond"/>
          <w:sz w:val="24"/>
          <w:szCs w:val="24"/>
        </w:rPr>
        <w:t xml:space="preserve"> 26, España, 2015.</w:t>
      </w:r>
    </w:p>
    <w:p w:rsidR="002204E0" w:rsidRPr="0049161C"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_____________,</w:t>
      </w:r>
      <w:r>
        <w:rPr>
          <w:rFonts w:ascii="Garamond" w:hAnsi="Garamond"/>
          <w:sz w:val="24"/>
          <w:szCs w:val="24"/>
        </w:rPr>
        <w:t xml:space="preserve"> “</w:t>
      </w:r>
      <w:r w:rsidRPr="0049161C">
        <w:rPr>
          <w:rFonts w:ascii="Garamond" w:hAnsi="Garamond"/>
          <w:sz w:val="24"/>
          <w:szCs w:val="24"/>
        </w:rPr>
        <w:t>La auditoría ambiental y la industria amigable con el ambiente, meta del desarrollo sostenible en el derecho ambiental para Cuba por parte de la CGR</w:t>
      </w:r>
      <w:r>
        <w:rPr>
          <w:rFonts w:ascii="Garamond" w:hAnsi="Garamond"/>
          <w:sz w:val="24"/>
          <w:szCs w:val="24"/>
        </w:rPr>
        <w:t>”</w:t>
      </w:r>
      <w:r w:rsidRPr="0049161C">
        <w:rPr>
          <w:rFonts w:ascii="Garamond" w:hAnsi="Garamond"/>
          <w:sz w:val="24"/>
          <w:szCs w:val="24"/>
        </w:rPr>
        <w:t>,</w:t>
      </w:r>
      <w:r w:rsidRPr="007B3DF6">
        <w:rPr>
          <w:rFonts w:ascii="Garamond" w:hAnsi="Garamond"/>
          <w:sz w:val="24"/>
          <w:szCs w:val="24"/>
        </w:rPr>
        <w:t xml:space="preserve"> Revista </w:t>
      </w:r>
      <w:r w:rsidRPr="0049161C">
        <w:rPr>
          <w:rFonts w:ascii="Garamond" w:hAnsi="Garamond"/>
          <w:i/>
          <w:sz w:val="24"/>
          <w:szCs w:val="24"/>
        </w:rPr>
        <w:t>Diálogos de Derecho y Justicia</w:t>
      </w:r>
      <w:r w:rsidRPr="007B3DF6">
        <w:rPr>
          <w:rFonts w:ascii="Garamond" w:hAnsi="Garamond"/>
          <w:sz w:val="24"/>
          <w:szCs w:val="24"/>
        </w:rPr>
        <w:t xml:space="preserve">, </w:t>
      </w:r>
      <w:r>
        <w:rPr>
          <w:rFonts w:ascii="Garamond" w:hAnsi="Garamond"/>
          <w:sz w:val="24"/>
          <w:szCs w:val="24"/>
        </w:rPr>
        <w:t>núm.</w:t>
      </w:r>
      <w:r w:rsidRPr="007B3DF6">
        <w:rPr>
          <w:rFonts w:ascii="Garamond" w:hAnsi="Garamond"/>
          <w:sz w:val="24"/>
          <w:szCs w:val="24"/>
        </w:rPr>
        <w:t xml:space="preserve"> 16, Colombia, 2015.</w:t>
      </w:r>
    </w:p>
    <w:p w:rsidR="002204E0" w:rsidRPr="0049161C"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____________,</w:t>
      </w:r>
      <w:r>
        <w:rPr>
          <w:rFonts w:ascii="Garamond" w:hAnsi="Garamond"/>
          <w:sz w:val="24"/>
          <w:szCs w:val="24"/>
        </w:rPr>
        <w:t xml:space="preserve"> “</w:t>
      </w:r>
      <w:r w:rsidRPr="0049161C">
        <w:rPr>
          <w:rFonts w:ascii="Garamond" w:hAnsi="Garamond"/>
          <w:sz w:val="24"/>
          <w:szCs w:val="24"/>
        </w:rPr>
        <w:t>Nuevas tendencias de la auditoría con enfoque ambiental</w:t>
      </w:r>
      <w:r>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Urbe et Ius, Argentina</w:t>
      </w:r>
      <w:r w:rsidRPr="007B3DF6">
        <w:rPr>
          <w:rFonts w:ascii="Garamond" w:hAnsi="Garamond"/>
          <w:sz w:val="24"/>
          <w:szCs w:val="24"/>
        </w:rPr>
        <w:t>, 2015.</w:t>
      </w:r>
    </w:p>
    <w:p w:rsidR="002204E0" w:rsidRPr="007B3DF6" w:rsidRDefault="002204E0" w:rsidP="007972E9">
      <w:pPr>
        <w:pStyle w:val="Prrafodelista"/>
        <w:numPr>
          <w:ilvl w:val="0"/>
          <w:numId w:val="2"/>
        </w:numPr>
        <w:spacing w:after="0" w:line="240" w:lineRule="auto"/>
        <w:ind w:left="284" w:hanging="284"/>
        <w:jc w:val="both"/>
        <w:rPr>
          <w:rFonts w:ascii="Garamond" w:hAnsi="Garamond"/>
          <w:sz w:val="24"/>
          <w:szCs w:val="24"/>
        </w:rPr>
      </w:pPr>
      <w:r w:rsidRPr="007B3DF6">
        <w:rPr>
          <w:rFonts w:ascii="Garamond" w:hAnsi="Garamond"/>
          <w:sz w:val="24"/>
          <w:szCs w:val="24"/>
        </w:rPr>
        <w:t xml:space="preserve">__________, </w:t>
      </w:r>
      <w:r>
        <w:rPr>
          <w:rFonts w:ascii="Garamond" w:hAnsi="Garamond"/>
          <w:sz w:val="24"/>
          <w:szCs w:val="24"/>
        </w:rPr>
        <w:t>“</w:t>
      </w:r>
      <w:r w:rsidRPr="0049161C">
        <w:rPr>
          <w:rFonts w:ascii="Garamond" w:hAnsi="Garamond"/>
          <w:sz w:val="24"/>
          <w:szCs w:val="24"/>
        </w:rPr>
        <w:t>Una primera mirada al seguro ambiental y el desarrollo sostenible como parte de la política empresarial cubana</w:t>
      </w:r>
      <w:r>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de Derecho, Doctrina y Legislación Ambiental Abeledo Perrot</w:t>
      </w:r>
      <w:r>
        <w:rPr>
          <w:rFonts w:ascii="Garamond" w:hAnsi="Garamond"/>
          <w:sz w:val="24"/>
          <w:szCs w:val="24"/>
        </w:rPr>
        <w:t>, núm.</w:t>
      </w:r>
      <w:r w:rsidRPr="007B3DF6">
        <w:rPr>
          <w:rFonts w:ascii="Garamond" w:hAnsi="Garamond"/>
          <w:sz w:val="24"/>
          <w:szCs w:val="24"/>
        </w:rPr>
        <w:t xml:space="preserve"> 41, Argentina. 2015.</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Astrong, Mario, </w:t>
      </w:r>
      <w:r>
        <w:rPr>
          <w:rFonts w:ascii="Garamond" w:hAnsi="Garamond"/>
          <w:sz w:val="24"/>
          <w:szCs w:val="24"/>
        </w:rPr>
        <w:t>“</w:t>
      </w:r>
      <w:r w:rsidRPr="0049161C">
        <w:rPr>
          <w:rFonts w:ascii="Garamond" w:hAnsi="Garamond"/>
          <w:sz w:val="24"/>
          <w:szCs w:val="24"/>
        </w:rPr>
        <w:t>La responsabilidad social empresarial</w:t>
      </w:r>
      <w:r>
        <w:rPr>
          <w:rFonts w:ascii="Garamond" w:hAnsi="Garamond"/>
          <w:sz w:val="24"/>
          <w:szCs w:val="24"/>
        </w:rPr>
        <w:t>”</w:t>
      </w:r>
      <w:r w:rsidRPr="007B3DF6">
        <w:rPr>
          <w:rFonts w:ascii="Garamond" w:hAnsi="Garamond"/>
          <w:sz w:val="24"/>
          <w:szCs w:val="24"/>
        </w:rPr>
        <w:t xml:space="preserve">, </w:t>
      </w:r>
      <w:r w:rsidRPr="0049161C">
        <w:rPr>
          <w:rFonts w:ascii="Garamond" w:hAnsi="Garamond"/>
          <w:i/>
          <w:sz w:val="24"/>
          <w:szCs w:val="24"/>
        </w:rPr>
        <w:t>Revista del Centro Empresarial Moderno</w:t>
      </w:r>
      <w:r w:rsidRPr="007B3DF6">
        <w:rPr>
          <w:rFonts w:ascii="Garamond" w:hAnsi="Garamond"/>
          <w:sz w:val="24"/>
          <w:szCs w:val="24"/>
        </w:rPr>
        <w:t>, Perú, 2012.</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Basurto González, Daniel, </w:t>
      </w:r>
      <w:r>
        <w:rPr>
          <w:rFonts w:ascii="Garamond" w:hAnsi="Garamond"/>
          <w:sz w:val="24"/>
          <w:szCs w:val="24"/>
        </w:rPr>
        <w:t>“</w:t>
      </w:r>
      <w:r w:rsidRPr="003074E4">
        <w:rPr>
          <w:rFonts w:ascii="Garamond" w:hAnsi="Garamond"/>
          <w:sz w:val="24"/>
          <w:szCs w:val="24"/>
        </w:rPr>
        <w:t>Responsabilidad social y ambiental en las empresas</w:t>
      </w:r>
      <w:r>
        <w:rPr>
          <w:rFonts w:ascii="Garamond" w:hAnsi="Garamond"/>
          <w:sz w:val="24"/>
          <w:szCs w:val="24"/>
        </w:rPr>
        <w:t>”</w:t>
      </w:r>
      <w:r w:rsidRPr="003074E4">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Revista Política y Gestión Empresarial</w:t>
      </w:r>
      <w:r>
        <w:rPr>
          <w:rFonts w:ascii="Garamond" w:hAnsi="Garamond"/>
          <w:sz w:val="24"/>
          <w:szCs w:val="24"/>
        </w:rPr>
        <w:t>, México</w:t>
      </w:r>
      <w:r w:rsidRPr="007B3DF6">
        <w:rPr>
          <w:rFonts w:ascii="Garamond" w:hAnsi="Garamond"/>
          <w:sz w:val="24"/>
          <w:szCs w:val="24"/>
        </w:rPr>
        <w:t>, 2012.</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Bellorio Clabot, Dino, </w:t>
      </w:r>
      <w:r>
        <w:rPr>
          <w:rFonts w:ascii="Garamond" w:hAnsi="Garamond"/>
          <w:sz w:val="24"/>
          <w:szCs w:val="24"/>
        </w:rPr>
        <w:t>“</w:t>
      </w:r>
      <w:r w:rsidRPr="003074E4">
        <w:rPr>
          <w:rFonts w:ascii="Garamond" w:hAnsi="Garamond"/>
          <w:sz w:val="24"/>
          <w:szCs w:val="24"/>
        </w:rPr>
        <w:t>El nuevo paradigma ambiental y jurídico</w:t>
      </w:r>
      <w:r>
        <w:rPr>
          <w:rFonts w:ascii="Garamond" w:hAnsi="Garamond"/>
          <w:sz w:val="24"/>
          <w:szCs w:val="24"/>
        </w:rPr>
        <w:t>”</w:t>
      </w:r>
      <w:r w:rsidRPr="003074E4">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Revista Iberoamericana de Derecho Ambiental y Recursos Naturales</w:t>
      </w:r>
      <w:r w:rsidRPr="007B3DF6">
        <w:rPr>
          <w:rFonts w:ascii="Garamond" w:hAnsi="Garamond"/>
          <w:sz w:val="24"/>
          <w:szCs w:val="24"/>
        </w:rPr>
        <w:t>, Argentina, 2013.</w:t>
      </w:r>
      <w:r>
        <w:rPr>
          <w:rFonts w:ascii="Garamond" w:hAnsi="Garamond"/>
          <w:sz w:val="24"/>
          <w:szCs w:val="24"/>
        </w:rPr>
        <w:t xml:space="preserve"> </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Caferrata, Néstor Alfredo, </w:t>
      </w:r>
      <w:r>
        <w:rPr>
          <w:rFonts w:ascii="Garamond" w:hAnsi="Garamond"/>
          <w:sz w:val="24"/>
          <w:szCs w:val="24"/>
        </w:rPr>
        <w:t>“</w:t>
      </w:r>
      <w:r w:rsidRPr="003074E4">
        <w:rPr>
          <w:rFonts w:ascii="Garamond" w:hAnsi="Garamond"/>
          <w:sz w:val="24"/>
          <w:szCs w:val="24"/>
        </w:rPr>
        <w:t>Teoría de los principios del derecho ambiental</w:t>
      </w:r>
      <w:r>
        <w:rPr>
          <w:rFonts w:ascii="Garamond" w:hAnsi="Garamond"/>
          <w:sz w:val="24"/>
          <w:szCs w:val="24"/>
        </w:rPr>
        <w:t xml:space="preserve">”, </w:t>
      </w:r>
      <w:r w:rsidRPr="003074E4">
        <w:rPr>
          <w:rFonts w:ascii="Garamond" w:hAnsi="Garamond"/>
          <w:i/>
          <w:sz w:val="24"/>
          <w:szCs w:val="24"/>
        </w:rPr>
        <w:t>Revista Abeledo Perrot</w:t>
      </w:r>
      <w:r w:rsidRPr="007B3DF6">
        <w:rPr>
          <w:rFonts w:ascii="Garamond" w:hAnsi="Garamond"/>
          <w:sz w:val="24"/>
          <w:szCs w:val="24"/>
        </w:rPr>
        <w:t>, Argentina, 2009.</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Drnas</w:t>
      </w:r>
      <w:r>
        <w:rPr>
          <w:rFonts w:ascii="Garamond" w:hAnsi="Garamond"/>
          <w:sz w:val="24"/>
          <w:szCs w:val="24"/>
        </w:rPr>
        <w:t xml:space="preserve"> D</w:t>
      </w:r>
      <w:r w:rsidRPr="007B3DF6">
        <w:rPr>
          <w:rFonts w:ascii="Garamond" w:hAnsi="Garamond"/>
          <w:sz w:val="24"/>
          <w:szCs w:val="24"/>
        </w:rPr>
        <w:t xml:space="preserve">e Clément, Zlata, </w:t>
      </w:r>
      <w:r>
        <w:rPr>
          <w:rFonts w:ascii="Garamond" w:hAnsi="Garamond"/>
          <w:sz w:val="24"/>
          <w:szCs w:val="24"/>
        </w:rPr>
        <w:t>“</w:t>
      </w:r>
      <w:r w:rsidRPr="003074E4">
        <w:rPr>
          <w:rFonts w:ascii="Garamond" w:hAnsi="Garamond"/>
          <w:sz w:val="24"/>
          <w:szCs w:val="24"/>
        </w:rPr>
        <w:t>Elementos esenciales del principio de precaución ambiental</w:t>
      </w:r>
      <w:r>
        <w:rPr>
          <w:rFonts w:ascii="Garamond" w:hAnsi="Garamond"/>
          <w:sz w:val="24"/>
          <w:szCs w:val="24"/>
        </w:rPr>
        <w:t>”</w:t>
      </w:r>
      <w:r w:rsidRPr="003074E4">
        <w:rPr>
          <w:rFonts w:ascii="Garamond" w:hAnsi="Garamond"/>
          <w:sz w:val="24"/>
          <w:szCs w:val="24"/>
        </w:rPr>
        <w:t>,</w:t>
      </w:r>
      <w:r w:rsidRPr="007B3DF6">
        <w:rPr>
          <w:rFonts w:ascii="Garamond" w:hAnsi="Garamond"/>
          <w:sz w:val="24"/>
          <w:szCs w:val="24"/>
        </w:rPr>
        <w:t xml:space="preserve"> Argentina, Anuario del CIJS, 2007.</w:t>
      </w:r>
      <w:r>
        <w:rPr>
          <w:rFonts w:ascii="Garamond" w:hAnsi="Garamond"/>
          <w:sz w:val="24"/>
          <w:szCs w:val="24"/>
        </w:rPr>
        <w:t xml:space="preserve"> </w:t>
      </w:r>
    </w:p>
    <w:p w:rsidR="002204E0" w:rsidRPr="007B3DF6" w:rsidRDefault="002204E0" w:rsidP="007972E9">
      <w:pPr>
        <w:pStyle w:val="Prrafodelista"/>
        <w:widowControl w:val="0"/>
        <w:numPr>
          <w:ilvl w:val="0"/>
          <w:numId w:val="2"/>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Fernández de Gatta Sánchez, Dionisio, </w:t>
      </w:r>
      <w:r>
        <w:rPr>
          <w:rFonts w:ascii="Garamond" w:hAnsi="Garamond"/>
          <w:iCs/>
          <w:sz w:val="24"/>
          <w:szCs w:val="24"/>
        </w:rPr>
        <w:t>“</w:t>
      </w:r>
      <w:r w:rsidRPr="003074E4">
        <w:rPr>
          <w:rFonts w:ascii="Garamond" w:hAnsi="Garamond"/>
          <w:iCs/>
          <w:sz w:val="24"/>
          <w:szCs w:val="24"/>
        </w:rPr>
        <w:t>Principios del derecho ambiental, la responsabilidad social corporativa en materia ambiental</w:t>
      </w:r>
      <w:r>
        <w:rPr>
          <w:rFonts w:ascii="Garamond" w:hAnsi="Garamond"/>
          <w:iCs/>
          <w:sz w:val="24"/>
          <w:szCs w:val="24"/>
        </w:rPr>
        <w:t>”</w:t>
      </w:r>
      <w:r w:rsidRPr="003074E4">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Boletín Económico ICE</w:t>
      </w:r>
      <w:r>
        <w:rPr>
          <w:rFonts w:ascii="Garamond" w:hAnsi="Garamond"/>
          <w:iCs/>
          <w:sz w:val="24"/>
          <w:szCs w:val="24"/>
        </w:rPr>
        <w:t>, núm.</w:t>
      </w:r>
      <w:r w:rsidRPr="007B3DF6">
        <w:rPr>
          <w:rFonts w:ascii="Garamond" w:hAnsi="Garamond"/>
          <w:iCs/>
          <w:sz w:val="24"/>
          <w:szCs w:val="24"/>
        </w:rPr>
        <w:t xml:space="preserve"> 2824, España, 2004.</w:t>
      </w:r>
    </w:p>
    <w:p w:rsidR="002204E0" w:rsidRPr="007B3DF6" w:rsidRDefault="002204E0" w:rsidP="007972E9">
      <w:pPr>
        <w:pStyle w:val="Prrafodelista"/>
        <w:widowControl w:val="0"/>
        <w:numPr>
          <w:ilvl w:val="0"/>
          <w:numId w:val="2"/>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Jordano Fraga, José, </w:t>
      </w:r>
      <w:r>
        <w:rPr>
          <w:rFonts w:ascii="Garamond" w:hAnsi="Garamond"/>
          <w:iCs/>
          <w:sz w:val="24"/>
          <w:szCs w:val="24"/>
        </w:rPr>
        <w:t>“</w:t>
      </w:r>
      <w:r w:rsidRPr="003074E4">
        <w:rPr>
          <w:rFonts w:ascii="Garamond" w:hAnsi="Garamond"/>
          <w:iCs/>
          <w:sz w:val="24"/>
          <w:szCs w:val="24"/>
        </w:rPr>
        <w:t>Viejos y nuevos retos de la evaluación de impacto ambiental</w:t>
      </w:r>
      <w:r>
        <w:rPr>
          <w:rFonts w:ascii="Garamond" w:hAnsi="Garamond"/>
          <w:iCs/>
          <w:sz w:val="24"/>
          <w:szCs w:val="24"/>
        </w:rPr>
        <w:t>”</w:t>
      </w:r>
      <w:r w:rsidRPr="003074E4">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de Derecho Ambiental</w:t>
      </w:r>
      <w:r w:rsidRPr="007B3DF6">
        <w:rPr>
          <w:rFonts w:ascii="Garamond" w:hAnsi="Garamond"/>
          <w:iCs/>
          <w:sz w:val="24"/>
          <w:szCs w:val="24"/>
        </w:rPr>
        <w:t>, España, 2010.</w:t>
      </w:r>
    </w:p>
    <w:p w:rsidR="002204E0" w:rsidRPr="007B3DF6" w:rsidRDefault="002204E0" w:rsidP="007972E9">
      <w:pPr>
        <w:pStyle w:val="Prrafodelista"/>
        <w:numPr>
          <w:ilvl w:val="0"/>
          <w:numId w:val="2"/>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Lavandeira, Xavier, </w:t>
      </w:r>
      <w:r>
        <w:rPr>
          <w:rFonts w:ascii="Garamond" w:hAnsi="Garamond"/>
          <w:sz w:val="24"/>
          <w:szCs w:val="24"/>
        </w:rPr>
        <w:t>“</w:t>
      </w:r>
      <w:r w:rsidRPr="003074E4">
        <w:rPr>
          <w:rFonts w:ascii="Garamond" w:hAnsi="Garamond"/>
          <w:sz w:val="24"/>
          <w:szCs w:val="24"/>
        </w:rPr>
        <w:t>Cambio climático y políticas impositivas de control</w:t>
      </w:r>
      <w:r>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Revista Universidad de Vigo</w:t>
      </w:r>
      <w:r w:rsidRPr="007B3DF6">
        <w:rPr>
          <w:rFonts w:ascii="Garamond" w:hAnsi="Garamond"/>
          <w:sz w:val="24"/>
          <w:szCs w:val="24"/>
        </w:rPr>
        <w:t>, España, 2014.</w:t>
      </w:r>
    </w:p>
    <w:p w:rsidR="002204E0" w:rsidRPr="007B3DF6" w:rsidRDefault="002204E0" w:rsidP="007972E9">
      <w:pPr>
        <w:pStyle w:val="Prrafodelista"/>
        <w:widowControl w:val="0"/>
        <w:numPr>
          <w:ilvl w:val="0"/>
          <w:numId w:val="20"/>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Lustosa da Costa, Carlos, </w:t>
      </w:r>
      <w:r>
        <w:rPr>
          <w:rFonts w:ascii="Garamond" w:hAnsi="Garamond"/>
          <w:iCs/>
          <w:sz w:val="24"/>
          <w:szCs w:val="24"/>
        </w:rPr>
        <w:t>“</w:t>
      </w:r>
      <w:r w:rsidRPr="003074E4">
        <w:rPr>
          <w:rFonts w:ascii="Garamond" w:hAnsi="Garamond"/>
          <w:iCs/>
          <w:sz w:val="24"/>
          <w:szCs w:val="24"/>
        </w:rPr>
        <w:t>Las auditorías coordinadas y sus contribuciones para los Estados Federales: la experiencia de la auditoría en la Amazonía</w:t>
      </w:r>
      <w:r>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OLACEFS</w:t>
      </w:r>
      <w:r>
        <w:rPr>
          <w:rFonts w:ascii="Garamond" w:hAnsi="Garamond"/>
          <w:iCs/>
          <w:sz w:val="24"/>
          <w:szCs w:val="24"/>
        </w:rPr>
        <w:t>, núm.</w:t>
      </w:r>
      <w:r w:rsidRPr="007B3DF6">
        <w:rPr>
          <w:rFonts w:ascii="Garamond" w:hAnsi="Garamond"/>
          <w:iCs/>
          <w:sz w:val="24"/>
          <w:szCs w:val="24"/>
        </w:rPr>
        <w:t xml:space="preserve"> 15, Brasil, 2014.</w:t>
      </w:r>
    </w:p>
    <w:p w:rsidR="002204E0" w:rsidRPr="007B3DF6" w:rsidRDefault="002204E0" w:rsidP="007972E9">
      <w:pPr>
        <w:pStyle w:val="Prrafodelista"/>
        <w:widowControl w:val="0"/>
        <w:numPr>
          <w:ilvl w:val="0"/>
          <w:numId w:val="19"/>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Lineamientos Económicos, VI Congreso del Partido Comunista de Cuba, La Habana, Editorial Política, 2011.</w:t>
      </w:r>
    </w:p>
    <w:p w:rsidR="002204E0" w:rsidRPr="007B3DF6" w:rsidRDefault="002204E0" w:rsidP="007972E9">
      <w:pPr>
        <w:pStyle w:val="Prrafodelista"/>
        <w:numPr>
          <w:ilvl w:val="0"/>
          <w:numId w:val="17"/>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Martín Mateo, Ramón, </w:t>
      </w:r>
      <w:r>
        <w:rPr>
          <w:rFonts w:ascii="Garamond" w:hAnsi="Garamond"/>
          <w:sz w:val="24"/>
          <w:szCs w:val="24"/>
        </w:rPr>
        <w:t>“</w:t>
      </w:r>
      <w:r w:rsidRPr="003074E4">
        <w:rPr>
          <w:rFonts w:ascii="Garamond" w:hAnsi="Garamond"/>
          <w:sz w:val="24"/>
          <w:szCs w:val="24"/>
        </w:rPr>
        <w:t>La ecoauditoría</w:t>
      </w:r>
      <w:r>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Boletín de Estudios Económicos</w:t>
      </w:r>
      <w:r>
        <w:rPr>
          <w:rFonts w:ascii="Garamond" w:hAnsi="Garamond"/>
          <w:sz w:val="24"/>
          <w:szCs w:val="24"/>
        </w:rPr>
        <w:t>, núm.</w:t>
      </w:r>
      <w:r w:rsidRPr="007B3DF6">
        <w:rPr>
          <w:rFonts w:ascii="Garamond" w:hAnsi="Garamond"/>
          <w:sz w:val="24"/>
          <w:szCs w:val="24"/>
        </w:rPr>
        <w:t xml:space="preserve"> 150, España, 1993.</w:t>
      </w:r>
    </w:p>
    <w:p w:rsidR="002204E0" w:rsidRPr="007B3DF6" w:rsidRDefault="002204E0" w:rsidP="007972E9">
      <w:pPr>
        <w:pStyle w:val="Prrafodelista"/>
        <w:numPr>
          <w:ilvl w:val="0"/>
          <w:numId w:val="16"/>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Mora Ruiz, Manuela, </w:t>
      </w:r>
      <w:r>
        <w:rPr>
          <w:rFonts w:ascii="Garamond" w:hAnsi="Garamond"/>
          <w:sz w:val="24"/>
          <w:szCs w:val="24"/>
        </w:rPr>
        <w:t>“</w:t>
      </w:r>
      <w:r w:rsidRPr="003074E4">
        <w:rPr>
          <w:rFonts w:ascii="Garamond" w:hAnsi="Garamond"/>
          <w:sz w:val="24"/>
          <w:szCs w:val="24"/>
        </w:rPr>
        <w:t>Tendencias del derecho administrativo. El derecho administrativo ambiental: transformaciones en el derecho administrativo general</w:t>
      </w:r>
      <w:r>
        <w:rPr>
          <w:rFonts w:ascii="Garamond" w:hAnsi="Garamond"/>
          <w:sz w:val="24"/>
          <w:szCs w:val="24"/>
        </w:rPr>
        <w:t>”</w:t>
      </w:r>
      <w:r w:rsidRPr="003074E4">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Revista Derecho y Conocimiento</w:t>
      </w:r>
      <w:r w:rsidRPr="007B3DF6">
        <w:rPr>
          <w:rFonts w:ascii="Garamond" w:hAnsi="Garamond"/>
          <w:sz w:val="24"/>
          <w:szCs w:val="24"/>
        </w:rPr>
        <w:t>, España, 2012.</w:t>
      </w:r>
    </w:p>
    <w:p w:rsidR="002204E0" w:rsidRPr="007B3DF6" w:rsidRDefault="002204E0" w:rsidP="007972E9">
      <w:pPr>
        <w:pStyle w:val="Prrafodelista"/>
        <w:numPr>
          <w:ilvl w:val="0"/>
          <w:numId w:val="14"/>
        </w:numPr>
        <w:spacing w:after="0" w:line="240" w:lineRule="auto"/>
        <w:ind w:left="284" w:right="-144" w:hanging="284"/>
        <w:jc w:val="both"/>
        <w:rPr>
          <w:rFonts w:ascii="Garamond" w:hAnsi="Garamond"/>
          <w:iCs/>
          <w:sz w:val="24"/>
          <w:szCs w:val="24"/>
        </w:rPr>
      </w:pPr>
      <w:r w:rsidRPr="007B3DF6">
        <w:rPr>
          <w:rFonts w:ascii="Garamond" w:hAnsi="Garamond"/>
          <w:iCs/>
          <w:sz w:val="24"/>
          <w:szCs w:val="24"/>
        </w:rPr>
        <w:lastRenderedPageBreak/>
        <w:t>Murillo Jorge, Marino, Implement</w:t>
      </w:r>
      <w:r>
        <w:rPr>
          <w:rFonts w:ascii="Garamond" w:hAnsi="Garamond"/>
          <w:iCs/>
          <w:sz w:val="24"/>
          <w:szCs w:val="24"/>
        </w:rPr>
        <w:t>ación de los Lineamientos del 6</w:t>
      </w:r>
      <w:r w:rsidRPr="003074E4">
        <w:rPr>
          <w:rFonts w:ascii="Garamond" w:hAnsi="Garamond"/>
          <w:iCs/>
          <w:sz w:val="24"/>
          <w:szCs w:val="24"/>
          <w:vertAlign w:val="superscript"/>
        </w:rPr>
        <w:t>o</w:t>
      </w:r>
      <w:r w:rsidRPr="007B3DF6">
        <w:rPr>
          <w:rFonts w:ascii="Garamond" w:hAnsi="Garamond"/>
          <w:iCs/>
          <w:sz w:val="24"/>
          <w:szCs w:val="24"/>
        </w:rPr>
        <w:t xml:space="preserve"> Congreso del Partido Comunista de Cuba, VIII Legislatura de la Asamblea Nacional del Poder Popular, 1</w:t>
      </w:r>
      <w:r w:rsidRPr="007B3DF6">
        <w:rPr>
          <w:rFonts w:ascii="Garamond" w:hAnsi="Garamond"/>
          <w:iCs/>
          <w:sz w:val="24"/>
          <w:szCs w:val="24"/>
          <w:vertAlign w:val="superscript"/>
        </w:rPr>
        <w:t>er</w:t>
      </w:r>
      <w:r w:rsidRPr="007B3DF6">
        <w:rPr>
          <w:rFonts w:ascii="Garamond" w:hAnsi="Garamond"/>
          <w:iCs/>
          <w:sz w:val="24"/>
          <w:szCs w:val="24"/>
        </w:rPr>
        <w:t xml:space="preserve"> periodo de sesiones, La Habana, 2013.</w:t>
      </w:r>
    </w:p>
    <w:p w:rsidR="002204E0" w:rsidRPr="007B3DF6" w:rsidRDefault="002204E0" w:rsidP="007972E9">
      <w:pPr>
        <w:pStyle w:val="Prrafodelista"/>
        <w:widowControl w:val="0"/>
        <w:numPr>
          <w:ilvl w:val="0"/>
          <w:numId w:val="13"/>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Nogueira López, Alba, </w:t>
      </w:r>
      <w:r>
        <w:rPr>
          <w:rFonts w:ascii="Garamond" w:hAnsi="Garamond"/>
          <w:iCs/>
          <w:sz w:val="24"/>
          <w:szCs w:val="24"/>
        </w:rPr>
        <w:t>“</w:t>
      </w:r>
      <w:r w:rsidRPr="003074E4">
        <w:rPr>
          <w:rFonts w:ascii="Garamond" w:hAnsi="Garamond"/>
          <w:iCs/>
          <w:sz w:val="24"/>
          <w:szCs w:val="24"/>
        </w:rPr>
        <w:t>Hacia un EMAS de alcance internacional en competencia con la ISO 14001: notas a la revisión del Reglamento EMAS</w:t>
      </w:r>
      <w:r>
        <w:rPr>
          <w:rFonts w:ascii="Garamond" w:hAnsi="Garamond"/>
          <w:iCs/>
          <w:sz w:val="24"/>
          <w:szCs w:val="24"/>
        </w:rPr>
        <w:t>”</w:t>
      </w:r>
      <w:r w:rsidRPr="007B3DF6">
        <w:rPr>
          <w:rFonts w:ascii="Garamond" w:hAnsi="Garamond"/>
          <w:iCs/>
          <w:sz w:val="24"/>
          <w:szCs w:val="24"/>
        </w:rPr>
        <w:t xml:space="preserve">, </w:t>
      </w:r>
      <w:r>
        <w:rPr>
          <w:rFonts w:ascii="Garamond" w:hAnsi="Garamond"/>
          <w:i/>
          <w:iCs/>
          <w:sz w:val="24"/>
          <w:szCs w:val="24"/>
        </w:rPr>
        <w:t>Revista E</w:t>
      </w:r>
      <w:r w:rsidRPr="003074E4">
        <w:rPr>
          <w:rFonts w:ascii="Garamond" w:hAnsi="Garamond"/>
          <w:i/>
          <w:iCs/>
          <w:sz w:val="24"/>
          <w:szCs w:val="24"/>
        </w:rPr>
        <w:t>lectrónica Actualidad Jurídica Ambiental</w:t>
      </w:r>
      <w:r w:rsidRPr="007B3DF6">
        <w:rPr>
          <w:rFonts w:ascii="Garamond" w:hAnsi="Garamond"/>
          <w:iCs/>
          <w:sz w:val="24"/>
          <w:szCs w:val="24"/>
        </w:rPr>
        <w:t xml:space="preserve">, España, 2010, </w:t>
      </w:r>
      <w:r>
        <w:rPr>
          <w:rFonts w:ascii="Garamond" w:hAnsi="Garamond"/>
          <w:iCs/>
          <w:sz w:val="24"/>
          <w:szCs w:val="24"/>
        </w:rPr>
        <w:t xml:space="preserve">disponible en </w:t>
      </w:r>
      <w:hyperlink r:id="rId16" w:history="1">
        <w:r w:rsidRPr="002D2451">
          <w:rPr>
            <w:rStyle w:val="Hipervnculo"/>
            <w:rFonts w:ascii="Garamond" w:hAnsi="Garamond"/>
            <w:iCs/>
            <w:sz w:val="24"/>
            <w:szCs w:val="24"/>
          </w:rPr>
          <w:t>http://www.actualidadjuridicaambiental.com</w:t>
        </w:r>
      </w:hyperlink>
      <w:r>
        <w:rPr>
          <w:rFonts w:ascii="Garamond" w:hAnsi="Garamond"/>
          <w:iCs/>
          <w:sz w:val="24"/>
          <w:szCs w:val="24"/>
        </w:rPr>
        <w:t>,</w:t>
      </w:r>
      <w:r w:rsidRPr="007B3DF6">
        <w:rPr>
          <w:rFonts w:ascii="Garamond" w:hAnsi="Garamond"/>
          <w:iCs/>
          <w:sz w:val="24"/>
          <w:szCs w:val="24"/>
        </w:rPr>
        <w:t xml:space="preserve"> consulta: 07/01/16.</w:t>
      </w:r>
    </w:p>
    <w:p w:rsidR="002204E0" w:rsidRPr="007B3DF6" w:rsidRDefault="002204E0" w:rsidP="007972E9">
      <w:pPr>
        <w:pStyle w:val="Prrafodelista"/>
        <w:widowControl w:val="0"/>
        <w:numPr>
          <w:ilvl w:val="0"/>
          <w:numId w:val="12"/>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Ospina Duque, Ramón, </w:t>
      </w:r>
      <w:r>
        <w:rPr>
          <w:rFonts w:ascii="Garamond" w:hAnsi="Garamond"/>
          <w:iCs/>
          <w:sz w:val="24"/>
          <w:szCs w:val="24"/>
        </w:rPr>
        <w:t>“</w:t>
      </w:r>
      <w:r w:rsidRPr="003074E4">
        <w:rPr>
          <w:rFonts w:ascii="Garamond" w:hAnsi="Garamond"/>
          <w:iCs/>
          <w:sz w:val="24"/>
          <w:szCs w:val="24"/>
        </w:rPr>
        <w:t>La reingeniería de procesos: una herramienta gerencial para la innovación y mejora de la calidad en las organizaciones</w:t>
      </w:r>
      <w:r>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de Psicología y Administración de Empresas</w:t>
      </w:r>
      <w:r w:rsidRPr="007B3DF6">
        <w:rPr>
          <w:rFonts w:ascii="Garamond" w:hAnsi="Garamond"/>
          <w:iCs/>
          <w:sz w:val="24"/>
          <w:szCs w:val="24"/>
        </w:rPr>
        <w:t>, Madrid, España, 2011.</w:t>
      </w:r>
    </w:p>
    <w:p w:rsidR="002204E0" w:rsidRPr="007B3DF6" w:rsidRDefault="002204E0" w:rsidP="007972E9">
      <w:pPr>
        <w:pStyle w:val="Prrafodelista"/>
        <w:widowControl w:val="0"/>
        <w:numPr>
          <w:ilvl w:val="0"/>
          <w:numId w:val="8"/>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Rinaldi, Gustavo, </w:t>
      </w:r>
      <w:r>
        <w:rPr>
          <w:rFonts w:ascii="Garamond" w:hAnsi="Garamond"/>
          <w:iCs/>
          <w:sz w:val="24"/>
          <w:szCs w:val="24"/>
        </w:rPr>
        <w:t>“</w:t>
      </w:r>
      <w:r w:rsidRPr="003074E4">
        <w:rPr>
          <w:rFonts w:ascii="Garamond" w:hAnsi="Garamond"/>
          <w:iCs/>
          <w:sz w:val="24"/>
          <w:szCs w:val="24"/>
        </w:rPr>
        <w:t>Seguro ambiental, ejes</w:t>
      </w:r>
      <w:r>
        <w:rPr>
          <w:rFonts w:ascii="Garamond" w:hAnsi="Garamond"/>
          <w:iCs/>
          <w:sz w:val="24"/>
          <w:szCs w:val="24"/>
        </w:rPr>
        <w:t>”</w:t>
      </w:r>
      <w:r w:rsidRPr="003074E4">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Derecho Integral</w:t>
      </w:r>
      <w:r w:rsidRPr="007B3DF6">
        <w:rPr>
          <w:rFonts w:ascii="Garamond" w:hAnsi="Garamond"/>
          <w:iCs/>
          <w:sz w:val="24"/>
          <w:szCs w:val="24"/>
        </w:rPr>
        <w:t>, Argentina, 2012.</w:t>
      </w:r>
    </w:p>
    <w:p w:rsidR="002204E0" w:rsidRPr="007B3DF6" w:rsidRDefault="002204E0" w:rsidP="007972E9">
      <w:pPr>
        <w:pStyle w:val="Prrafodelista"/>
        <w:widowControl w:val="0"/>
        <w:numPr>
          <w:ilvl w:val="0"/>
          <w:numId w:val="5"/>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Sanz Larruga, Francisco, </w:t>
      </w:r>
      <w:r>
        <w:rPr>
          <w:rFonts w:ascii="Garamond" w:hAnsi="Garamond"/>
          <w:iCs/>
          <w:sz w:val="24"/>
          <w:szCs w:val="24"/>
        </w:rPr>
        <w:t>“</w:t>
      </w:r>
      <w:r w:rsidRPr="003074E4">
        <w:rPr>
          <w:rFonts w:ascii="Garamond" w:hAnsi="Garamond"/>
          <w:iCs/>
          <w:sz w:val="24"/>
          <w:szCs w:val="24"/>
        </w:rPr>
        <w:t>El principio de precaución en la jurisprudencia comunitaria</w:t>
      </w:r>
      <w:r>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Aranzadi de Derecho Ambiental</w:t>
      </w:r>
      <w:r>
        <w:rPr>
          <w:rFonts w:ascii="Garamond" w:hAnsi="Garamond"/>
          <w:iCs/>
          <w:sz w:val="24"/>
          <w:szCs w:val="24"/>
        </w:rPr>
        <w:t xml:space="preserve">, núm. </w:t>
      </w:r>
      <w:r w:rsidRPr="007B3DF6">
        <w:rPr>
          <w:rFonts w:ascii="Garamond" w:hAnsi="Garamond"/>
          <w:iCs/>
          <w:sz w:val="24"/>
          <w:szCs w:val="24"/>
        </w:rPr>
        <w:t>1, España, 2002.</w:t>
      </w:r>
    </w:p>
    <w:p w:rsidR="002204E0" w:rsidRPr="007B3DF6" w:rsidRDefault="002204E0" w:rsidP="007972E9">
      <w:pPr>
        <w:pStyle w:val="Prrafodelista"/>
        <w:widowControl w:val="0"/>
        <w:numPr>
          <w:ilvl w:val="0"/>
          <w:numId w:val="4"/>
        </w:numPr>
        <w:autoSpaceDE w:val="0"/>
        <w:autoSpaceDN w:val="0"/>
        <w:adjustRightInd w:val="0"/>
        <w:spacing w:after="0" w:line="240" w:lineRule="auto"/>
        <w:ind w:left="284" w:right="-144" w:hanging="284"/>
        <w:jc w:val="both"/>
        <w:rPr>
          <w:rFonts w:ascii="Garamond" w:hAnsi="Garamond"/>
          <w:iCs/>
          <w:sz w:val="24"/>
          <w:szCs w:val="24"/>
        </w:rPr>
      </w:pPr>
      <w:r w:rsidRPr="007B3DF6">
        <w:rPr>
          <w:rFonts w:ascii="Garamond" w:hAnsi="Garamond"/>
          <w:iCs/>
          <w:sz w:val="24"/>
          <w:szCs w:val="24"/>
        </w:rPr>
        <w:t xml:space="preserve">Sales de Freitas, Joycemara, </w:t>
      </w:r>
      <w:r>
        <w:rPr>
          <w:rFonts w:ascii="Garamond" w:hAnsi="Garamond"/>
          <w:iCs/>
          <w:sz w:val="24"/>
          <w:szCs w:val="24"/>
        </w:rPr>
        <w:t>“</w:t>
      </w:r>
      <w:r w:rsidRPr="003074E4">
        <w:rPr>
          <w:rFonts w:ascii="Garamond" w:hAnsi="Garamond"/>
          <w:iCs/>
          <w:sz w:val="24"/>
          <w:szCs w:val="24"/>
        </w:rPr>
        <w:t>Auditoría Externa Ambiental como instrumento de defensa del medio ambiente</w:t>
      </w:r>
      <w:r>
        <w:rPr>
          <w:rFonts w:ascii="Garamond" w:hAnsi="Garamond"/>
          <w:iCs/>
          <w:sz w:val="24"/>
          <w:szCs w:val="24"/>
        </w:rPr>
        <w:t>”</w:t>
      </w:r>
      <w:r w:rsidRPr="007B3DF6">
        <w:rPr>
          <w:rFonts w:ascii="Garamond" w:hAnsi="Garamond"/>
          <w:iCs/>
          <w:sz w:val="24"/>
          <w:szCs w:val="24"/>
        </w:rPr>
        <w:t xml:space="preserve">, </w:t>
      </w:r>
      <w:r w:rsidRPr="003074E4">
        <w:rPr>
          <w:rFonts w:ascii="Garamond" w:hAnsi="Garamond"/>
          <w:i/>
          <w:iCs/>
          <w:sz w:val="24"/>
          <w:szCs w:val="24"/>
        </w:rPr>
        <w:t>Revista De Jure</w:t>
      </w:r>
      <w:r>
        <w:rPr>
          <w:rFonts w:ascii="Garamond" w:hAnsi="Garamond"/>
          <w:iCs/>
          <w:sz w:val="24"/>
          <w:szCs w:val="24"/>
        </w:rPr>
        <w:t>, núm.</w:t>
      </w:r>
      <w:r w:rsidRPr="007B3DF6">
        <w:rPr>
          <w:rFonts w:ascii="Garamond" w:hAnsi="Garamond"/>
          <w:iCs/>
          <w:sz w:val="24"/>
          <w:szCs w:val="24"/>
        </w:rPr>
        <w:t xml:space="preserve"> 20, Brasil, 2013.</w:t>
      </w:r>
    </w:p>
    <w:p w:rsidR="002204E0" w:rsidRPr="007B3DF6" w:rsidRDefault="002204E0" w:rsidP="007972E9">
      <w:pPr>
        <w:pStyle w:val="Prrafodelista"/>
        <w:numPr>
          <w:ilvl w:val="0"/>
          <w:numId w:val="3"/>
        </w:numPr>
        <w:spacing w:after="0" w:line="240" w:lineRule="auto"/>
        <w:ind w:left="284" w:right="-144" w:hanging="284"/>
        <w:jc w:val="both"/>
        <w:rPr>
          <w:rFonts w:ascii="Garamond" w:hAnsi="Garamond"/>
          <w:sz w:val="24"/>
          <w:szCs w:val="24"/>
        </w:rPr>
      </w:pPr>
      <w:r w:rsidRPr="007B3DF6">
        <w:rPr>
          <w:rFonts w:ascii="Garamond" w:hAnsi="Garamond"/>
          <w:sz w:val="24"/>
          <w:szCs w:val="24"/>
        </w:rPr>
        <w:t xml:space="preserve">Triana Cordoví, Juan, </w:t>
      </w:r>
      <w:r>
        <w:rPr>
          <w:rFonts w:ascii="Garamond" w:hAnsi="Garamond"/>
          <w:sz w:val="24"/>
          <w:szCs w:val="24"/>
        </w:rPr>
        <w:t>“</w:t>
      </w:r>
      <w:r w:rsidRPr="003074E4">
        <w:rPr>
          <w:rFonts w:ascii="Garamond" w:hAnsi="Garamond"/>
          <w:sz w:val="24"/>
          <w:szCs w:val="24"/>
        </w:rPr>
        <w:t>La economía cubana: balance de las transformaciones y perspectivas. Cuba: ¿De la actualización del modelo económico al desarrollo</w:t>
      </w:r>
      <w:r>
        <w:rPr>
          <w:rFonts w:ascii="Garamond" w:hAnsi="Garamond"/>
          <w:sz w:val="24"/>
          <w:szCs w:val="24"/>
        </w:rPr>
        <w:t>”</w:t>
      </w:r>
      <w:r w:rsidRPr="007B3DF6">
        <w:rPr>
          <w:rFonts w:ascii="Garamond" w:hAnsi="Garamond"/>
          <w:sz w:val="24"/>
          <w:szCs w:val="24"/>
        </w:rPr>
        <w:t xml:space="preserve">, </w:t>
      </w:r>
      <w:r w:rsidRPr="003074E4">
        <w:rPr>
          <w:rFonts w:ascii="Garamond" w:hAnsi="Garamond"/>
          <w:i/>
          <w:sz w:val="24"/>
          <w:szCs w:val="24"/>
        </w:rPr>
        <w:t>Revista de Contabilidad y Finanzas Cofín</w:t>
      </w:r>
      <w:r>
        <w:rPr>
          <w:rFonts w:ascii="Garamond" w:hAnsi="Garamond"/>
          <w:i/>
          <w:sz w:val="24"/>
          <w:szCs w:val="24"/>
        </w:rPr>
        <w:t xml:space="preserve"> H</w:t>
      </w:r>
      <w:r w:rsidRPr="003074E4">
        <w:rPr>
          <w:rFonts w:ascii="Garamond" w:hAnsi="Garamond"/>
          <w:i/>
          <w:sz w:val="24"/>
          <w:szCs w:val="24"/>
        </w:rPr>
        <w:t>abana</w:t>
      </w:r>
      <w:r w:rsidRPr="007B3DF6">
        <w:rPr>
          <w:rFonts w:ascii="Garamond" w:hAnsi="Garamond"/>
          <w:sz w:val="24"/>
          <w:szCs w:val="24"/>
        </w:rPr>
        <w:t>, La Habana, 2013.</w:t>
      </w:r>
    </w:p>
    <w:p w:rsidR="002204E0" w:rsidRPr="007B3DF6" w:rsidRDefault="002204E0" w:rsidP="002204E0">
      <w:pPr>
        <w:ind w:right="-144"/>
        <w:rPr>
          <w:szCs w:val="24"/>
        </w:rPr>
      </w:pPr>
    </w:p>
    <w:p w:rsidR="002204E0" w:rsidRPr="007B3DF6" w:rsidRDefault="002204E0" w:rsidP="002204E0">
      <w:pPr>
        <w:ind w:right="-144"/>
        <w:rPr>
          <w:szCs w:val="24"/>
        </w:rPr>
      </w:pPr>
      <w:r w:rsidRPr="007B3DF6">
        <w:rPr>
          <w:b/>
          <w:szCs w:val="24"/>
        </w:rPr>
        <w:t>Nota editorial</w:t>
      </w:r>
      <w:r w:rsidR="00D94818">
        <w:rPr>
          <w:b/>
          <w:szCs w:val="24"/>
        </w:rPr>
        <w:t>:</w:t>
      </w:r>
    </w:p>
    <w:p w:rsidR="002204E0" w:rsidRPr="007B3DF6" w:rsidRDefault="002204E0" w:rsidP="002204E0">
      <w:pPr>
        <w:ind w:right="-144"/>
        <w:rPr>
          <w:szCs w:val="24"/>
        </w:rPr>
      </w:pPr>
      <w:r w:rsidRPr="007B3DF6">
        <w:rPr>
          <w:szCs w:val="24"/>
        </w:rPr>
        <w:t>Las fuentes electrónicas y/o sitios fueron corroborados mediante consulta</w:t>
      </w:r>
      <w:r>
        <w:rPr>
          <w:szCs w:val="24"/>
        </w:rPr>
        <w:t xml:space="preserve"> el 07/01/16</w:t>
      </w:r>
      <w:r w:rsidRPr="007B3DF6">
        <w:rPr>
          <w:szCs w:val="24"/>
        </w:rPr>
        <w:t xml:space="preserve"> con fines de actualización.</w:t>
      </w:r>
    </w:p>
    <w:p w:rsidR="004E71DA" w:rsidRDefault="004E71DA" w:rsidP="003003BA">
      <w:pPr>
        <w:autoSpaceDE w:val="0"/>
        <w:autoSpaceDN w:val="0"/>
        <w:adjustRightInd w:val="0"/>
        <w:spacing w:after="0" w:line="360" w:lineRule="auto"/>
        <w:ind w:left="708" w:hanging="708"/>
        <w:rPr>
          <w:bCs/>
          <w:color w:val="000000"/>
          <w:szCs w:val="24"/>
          <w:shd w:val="clear" w:color="auto" w:fill="FFFFFF"/>
          <w:lang w:val="es-ES"/>
        </w:rPr>
      </w:pPr>
    </w:p>
    <w:p w:rsidR="004E71DA" w:rsidRDefault="004E71DA" w:rsidP="003003BA">
      <w:pPr>
        <w:autoSpaceDE w:val="0"/>
        <w:autoSpaceDN w:val="0"/>
        <w:adjustRightInd w:val="0"/>
        <w:spacing w:after="0" w:line="360" w:lineRule="auto"/>
        <w:ind w:left="708" w:hanging="708"/>
        <w:rPr>
          <w:bCs/>
          <w:color w:val="000000"/>
          <w:szCs w:val="24"/>
          <w:shd w:val="clear" w:color="auto" w:fill="FFFFFF"/>
          <w:lang w:val="es-ES"/>
        </w:rPr>
      </w:pPr>
    </w:p>
    <w:p w:rsidR="003003BA" w:rsidRPr="00556F04" w:rsidRDefault="003003BA" w:rsidP="003003BA">
      <w:pPr>
        <w:spacing w:after="0" w:line="360" w:lineRule="auto"/>
        <w:rPr>
          <w:szCs w:val="24"/>
        </w:rPr>
      </w:pPr>
    </w:p>
    <w:p w:rsidR="003003BA" w:rsidRDefault="003003BA" w:rsidP="00F73E43">
      <w:pPr>
        <w:jc w:val="center"/>
        <w:rPr>
          <w:b/>
          <w:szCs w:val="24"/>
        </w:rPr>
      </w:pPr>
    </w:p>
    <w:p w:rsidR="00DE153A" w:rsidRDefault="00DE153A" w:rsidP="00F73E43">
      <w:pPr>
        <w:jc w:val="center"/>
        <w:rPr>
          <w:b/>
          <w:szCs w:val="24"/>
        </w:rPr>
      </w:pPr>
    </w:p>
    <w:p w:rsidR="00DE153A" w:rsidRDefault="00DE153A" w:rsidP="00F73E43">
      <w:pPr>
        <w:spacing w:after="240" w:line="360" w:lineRule="auto"/>
        <w:jc w:val="center"/>
        <w:rPr>
          <w:b/>
          <w:szCs w:val="24"/>
        </w:rPr>
      </w:pPr>
    </w:p>
    <w:p w:rsidR="00DE153A" w:rsidRDefault="00DE153A" w:rsidP="00F73E43">
      <w:pPr>
        <w:spacing w:after="240" w:line="360" w:lineRule="auto"/>
        <w:jc w:val="center"/>
        <w:rPr>
          <w:b/>
          <w:szCs w:val="24"/>
        </w:rPr>
      </w:pPr>
    </w:p>
    <w:p w:rsidR="008C2927" w:rsidRPr="00FF2CBE" w:rsidRDefault="008C2927" w:rsidP="0053651F">
      <w:pPr>
        <w:spacing w:line="360" w:lineRule="auto"/>
        <w:rPr>
          <w:b/>
          <w:szCs w:val="24"/>
        </w:rPr>
      </w:pPr>
    </w:p>
    <w:sectPr w:rsidR="008C2927" w:rsidRPr="00FF2CBE" w:rsidSect="002A7F54">
      <w:headerReference w:type="even" r:id="rId17"/>
      <w:headerReference w:type="default" r:id="rId18"/>
      <w:footerReference w:type="default" r:id="rId19"/>
      <w:pgSz w:w="12240" w:h="15840" w:code="1"/>
      <w:pgMar w:top="1985" w:right="1134" w:bottom="1134" w:left="1134" w:header="709" w:footer="709" w:gutter="0"/>
      <w:pgNumType w:start="3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E76" w:rsidRDefault="003D0E76" w:rsidP="009E3816">
      <w:pPr>
        <w:spacing w:after="0" w:line="240" w:lineRule="auto"/>
      </w:pPr>
      <w:r>
        <w:separator/>
      </w:r>
    </w:p>
  </w:endnote>
  <w:endnote w:type="continuationSeparator" w:id="0">
    <w:p w:rsidR="003D0E76" w:rsidRDefault="003D0E76" w:rsidP="009E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 (TT)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10002FF" w:usb1="4000FCFF" w:usb2="00000009" w:usb3="00000000" w:csb0="0000019F" w:csb1="00000000"/>
  </w:font>
  <w:font w:name="AkzidenzGroteskBE-Regular">
    <w:altName w:val="Akzidenz Grotes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ELBZY+AGaramondPro-Regular">
    <w:altName w:val="Garamond Pro"/>
    <w:panose1 w:val="00000000000000000000"/>
    <w:charset w:val="00"/>
    <w:family w:val="roman"/>
    <w:notTrueType/>
    <w:pitch w:val="default"/>
    <w:sig w:usb0="00000003" w:usb1="00000000" w:usb2="00000000" w:usb3="00000000" w:csb0="00000001" w:csb1="00000000"/>
  </w:font>
  <w:font w:name="NKZZDQ+MyriadPro-Bold">
    <w:altName w:val="Myriad Pro"/>
    <w:panose1 w:val="00000000000000000000"/>
    <w:charset w:val="00"/>
    <w:family w:val="swiss"/>
    <w:notTrueType/>
    <w:pitch w:val="default"/>
    <w:sig w:usb0="00000003" w:usb1="00000000" w:usb2="00000000" w:usb3="00000000" w:csb0="00000001"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Unicode MS"/>
    <w:charset w:val="80"/>
    <w:family w:val="auto"/>
    <w:pitch w:val="variable"/>
    <w:sig w:usb0="00000001" w:usb1="08070000" w:usb2="00000010" w:usb3="00000000" w:csb0="00020000"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1797"/>
      <w:docPartObj>
        <w:docPartGallery w:val="Page Numbers (Bottom of Page)"/>
        <w:docPartUnique/>
      </w:docPartObj>
    </w:sdtPr>
    <w:sdtEndPr/>
    <w:sdtContent>
      <w:p w:rsidR="002204E0" w:rsidRDefault="003D0E76">
        <w:pPr>
          <w:pStyle w:val="Piedepgina"/>
          <w:jc w:val="right"/>
        </w:pPr>
        <w:r>
          <w:fldChar w:fldCharType="begin"/>
        </w:r>
        <w:r>
          <w:instrText xml:space="preserve"> PAGE   \* MERGEFORMAT </w:instrText>
        </w:r>
        <w:r>
          <w:fldChar w:fldCharType="separate"/>
        </w:r>
        <w:r w:rsidR="00BF6F78">
          <w:rPr>
            <w:noProof/>
          </w:rPr>
          <w:t>63</w:t>
        </w:r>
        <w:r>
          <w:rPr>
            <w:noProof/>
          </w:rPr>
          <w:fldChar w:fldCharType="end"/>
        </w:r>
      </w:p>
    </w:sdtContent>
  </w:sdt>
  <w:p w:rsidR="002204E0" w:rsidRDefault="00220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E76" w:rsidRDefault="003D0E76" w:rsidP="009E3816">
      <w:pPr>
        <w:spacing w:after="0" w:line="240" w:lineRule="auto"/>
      </w:pPr>
      <w:r>
        <w:separator/>
      </w:r>
    </w:p>
  </w:footnote>
  <w:footnote w:type="continuationSeparator" w:id="0">
    <w:p w:rsidR="003D0E76" w:rsidRDefault="003D0E76" w:rsidP="009E3816">
      <w:pPr>
        <w:spacing w:after="0" w:line="240" w:lineRule="auto"/>
      </w:pPr>
      <w:r>
        <w:continuationSeparator/>
      </w:r>
    </w:p>
  </w:footnote>
  <w:footnote w:id="1">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Wolisky, Jaime, </w:t>
      </w:r>
      <w:r w:rsidRPr="00E8751B">
        <w:rPr>
          <w:rFonts w:ascii="Garamond" w:hAnsi="Garamond"/>
          <w:i/>
          <w:sz w:val="22"/>
          <w:szCs w:val="22"/>
        </w:rPr>
        <w:t>Manual de auditoría integral y ambiental</w:t>
      </w:r>
      <w:r>
        <w:rPr>
          <w:rFonts w:ascii="Garamond" w:hAnsi="Garamond"/>
          <w:sz w:val="22"/>
          <w:szCs w:val="22"/>
        </w:rPr>
        <w:t xml:space="preserve">, </w:t>
      </w:r>
      <w:r w:rsidRPr="00E8751B">
        <w:rPr>
          <w:rFonts w:ascii="Garamond" w:hAnsi="Garamond"/>
          <w:sz w:val="22"/>
          <w:szCs w:val="22"/>
        </w:rPr>
        <w:t>Argentina</w:t>
      </w:r>
      <w:r>
        <w:rPr>
          <w:rFonts w:ascii="Garamond" w:hAnsi="Garamond"/>
          <w:sz w:val="22"/>
          <w:szCs w:val="22"/>
        </w:rPr>
        <w:t>, Buyatti,</w:t>
      </w:r>
      <w:r w:rsidRPr="00E8751B">
        <w:rPr>
          <w:rFonts w:ascii="Garamond" w:hAnsi="Garamond"/>
          <w:sz w:val="22"/>
          <w:szCs w:val="22"/>
        </w:rPr>
        <w:t xml:space="preserve"> 2012.</w:t>
      </w:r>
      <w:r>
        <w:rPr>
          <w:rFonts w:ascii="Garamond" w:hAnsi="Garamond"/>
          <w:sz w:val="22"/>
          <w:szCs w:val="22"/>
        </w:rPr>
        <w:t xml:space="preserve"> L</w:t>
      </w:r>
      <w:r w:rsidRPr="00E8751B">
        <w:rPr>
          <w:rFonts w:ascii="Garamond" w:hAnsi="Garamond"/>
          <w:sz w:val="22"/>
          <w:szCs w:val="22"/>
        </w:rPr>
        <w:t>as primeras contribuciones sobre el control ambiental aparecen en la doctrina contable con la auditoría pública, lo que contribuyó a su reconoci</w:t>
      </w:r>
      <w:r>
        <w:rPr>
          <w:rFonts w:ascii="Garamond" w:hAnsi="Garamond"/>
          <w:sz w:val="22"/>
          <w:szCs w:val="22"/>
        </w:rPr>
        <w:t>miento en la doctrina jurídica.</w:t>
      </w:r>
    </w:p>
  </w:footnote>
  <w:footnote w:id="2">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González Malaxechevarría, Ángel, </w:t>
      </w:r>
      <w:r>
        <w:rPr>
          <w:rFonts w:ascii="Garamond" w:hAnsi="Garamond"/>
          <w:sz w:val="22"/>
          <w:szCs w:val="22"/>
        </w:rPr>
        <w:t>“</w:t>
      </w:r>
      <w:r w:rsidRPr="007D6235">
        <w:rPr>
          <w:rFonts w:ascii="Garamond" w:hAnsi="Garamond"/>
          <w:sz w:val="22"/>
          <w:szCs w:val="22"/>
        </w:rPr>
        <w:t>La auditoría ambiental, evolución histórica</w:t>
      </w:r>
      <w:r>
        <w:rPr>
          <w:rFonts w:ascii="Garamond" w:hAnsi="Garamond"/>
          <w:sz w:val="22"/>
          <w:szCs w:val="22"/>
        </w:rPr>
        <w:t>”</w:t>
      </w:r>
      <w:r w:rsidRPr="007D6235">
        <w:rPr>
          <w:rFonts w:ascii="Garamond" w:hAnsi="Garamond"/>
          <w:sz w:val="22"/>
          <w:szCs w:val="22"/>
        </w:rPr>
        <w:t>,</w:t>
      </w:r>
      <w:r w:rsidRPr="00E8751B">
        <w:rPr>
          <w:rFonts w:ascii="Garamond" w:hAnsi="Garamond"/>
          <w:sz w:val="22"/>
          <w:szCs w:val="22"/>
        </w:rPr>
        <w:t xml:space="preserve"> </w:t>
      </w:r>
      <w:r w:rsidRPr="00C84128">
        <w:rPr>
          <w:rFonts w:ascii="Garamond" w:hAnsi="Garamond"/>
          <w:i/>
          <w:sz w:val="22"/>
          <w:szCs w:val="22"/>
        </w:rPr>
        <w:t>R</w:t>
      </w:r>
      <w:r w:rsidRPr="007D6235">
        <w:rPr>
          <w:rFonts w:ascii="Garamond" w:hAnsi="Garamond"/>
          <w:i/>
          <w:sz w:val="22"/>
          <w:szCs w:val="22"/>
        </w:rPr>
        <w:t>evista del Colegio de Auditores</w:t>
      </w:r>
      <w:r w:rsidRPr="00E8751B">
        <w:rPr>
          <w:rFonts w:ascii="Garamond" w:hAnsi="Garamond"/>
          <w:sz w:val="22"/>
          <w:szCs w:val="22"/>
        </w:rPr>
        <w:t>, España, 1997, pp.</w:t>
      </w:r>
      <w:r>
        <w:rPr>
          <w:rFonts w:ascii="Garamond" w:hAnsi="Garamond"/>
          <w:sz w:val="22"/>
          <w:szCs w:val="22"/>
        </w:rPr>
        <w:t xml:space="preserve"> </w:t>
      </w:r>
      <w:r w:rsidRPr="00E8751B">
        <w:rPr>
          <w:rFonts w:ascii="Garamond" w:hAnsi="Garamond"/>
          <w:sz w:val="22"/>
          <w:szCs w:val="22"/>
        </w:rPr>
        <w:t>5-39</w:t>
      </w:r>
    </w:p>
  </w:footnote>
  <w:footnote w:id="3">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Conesa Fernández-Vitora, Vicente, </w:t>
      </w:r>
      <w:r w:rsidRPr="00E8751B">
        <w:rPr>
          <w:rFonts w:ascii="Garamond" w:hAnsi="Garamond"/>
          <w:i/>
          <w:sz w:val="22"/>
          <w:szCs w:val="22"/>
        </w:rPr>
        <w:t>Instrumentos de la gestión ambiental en la empresa</w:t>
      </w:r>
      <w:r w:rsidRPr="00E8751B">
        <w:rPr>
          <w:rFonts w:ascii="Garamond" w:hAnsi="Garamond"/>
          <w:sz w:val="22"/>
          <w:szCs w:val="22"/>
        </w:rPr>
        <w:t xml:space="preserve">, </w:t>
      </w:r>
      <w:r>
        <w:rPr>
          <w:rFonts w:ascii="Garamond" w:hAnsi="Garamond"/>
          <w:sz w:val="22"/>
          <w:szCs w:val="22"/>
        </w:rPr>
        <w:t>España,</w:t>
      </w:r>
      <w:r w:rsidRPr="00E8751B">
        <w:rPr>
          <w:rFonts w:ascii="Garamond" w:hAnsi="Garamond"/>
          <w:sz w:val="22"/>
          <w:szCs w:val="22"/>
        </w:rPr>
        <w:t xml:space="preserve"> Mundi-Prensa, 1997, pp.</w:t>
      </w:r>
      <w:r>
        <w:rPr>
          <w:rFonts w:ascii="Garamond" w:hAnsi="Garamond"/>
          <w:sz w:val="22"/>
          <w:szCs w:val="22"/>
        </w:rPr>
        <w:t xml:space="preserve"> </w:t>
      </w:r>
      <w:r w:rsidRPr="00E8751B">
        <w:rPr>
          <w:rFonts w:ascii="Garamond" w:hAnsi="Garamond"/>
          <w:sz w:val="22"/>
          <w:szCs w:val="22"/>
        </w:rPr>
        <w:t>3-59</w:t>
      </w:r>
    </w:p>
  </w:footnote>
  <w:footnote w:id="4">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lang w:val="es-ES"/>
        </w:rPr>
        <w:t xml:space="preserve"> </w:t>
      </w:r>
      <w:r w:rsidRPr="00E8751B">
        <w:rPr>
          <w:rFonts w:ascii="Garamond" w:hAnsi="Garamond"/>
          <w:sz w:val="22"/>
          <w:szCs w:val="22"/>
          <w:lang w:val="es-ES"/>
        </w:rPr>
        <w:t xml:space="preserve">Terán Contreras, Juan, </w:t>
      </w:r>
      <w:r>
        <w:rPr>
          <w:rFonts w:ascii="Garamond" w:hAnsi="Garamond"/>
          <w:sz w:val="22"/>
          <w:szCs w:val="22"/>
          <w:lang w:val="es-ES"/>
        </w:rPr>
        <w:t>“</w:t>
      </w:r>
      <w:r w:rsidRPr="00C84128">
        <w:rPr>
          <w:rFonts w:ascii="Garamond" w:hAnsi="Garamond"/>
          <w:sz w:val="22"/>
          <w:szCs w:val="22"/>
          <w:lang w:val="es-ES"/>
        </w:rPr>
        <w:t>Instrumentos fiscales de la gestión ambiental</w:t>
      </w:r>
      <w:r>
        <w:rPr>
          <w:rFonts w:ascii="Garamond" w:hAnsi="Garamond"/>
          <w:sz w:val="22"/>
          <w:szCs w:val="22"/>
          <w:lang w:val="es-ES"/>
        </w:rPr>
        <w:t>”</w:t>
      </w:r>
      <w:r w:rsidRPr="00C84128">
        <w:rPr>
          <w:rFonts w:ascii="Garamond" w:hAnsi="Garamond"/>
          <w:sz w:val="22"/>
          <w:szCs w:val="22"/>
          <w:lang w:val="es-ES"/>
        </w:rPr>
        <w:t>,</w:t>
      </w:r>
      <w:r w:rsidRPr="00E8751B">
        <w:rPr>
          <w:rFonts w:ascii="Garamond" w:hAnsi="Garamond"/>
          <w:sz w:val="22"/>
          <w:szCs w:val="22"/>
          <w:lang w:val="es-ES"/>
        </w:rPr>
        <w:t xml:space="preserve"> Revi</w:t>
      </w:r>
      <w:r>
        <w:rPr>
          <w:rFonts w:ascii="Garamond" w:hAnsi="Garamond"/>
          <w:sz w:val="22"/>
          <w:szCs w:val="22"/>
          <w:lang w:val="es-ES"/>
        </w:rPr>
        <w:t>sta de Economía Aplicada, núm.</w:t>
      </w:r>
      <w:r w:rsidRPr="00E8751B">
        <w:rPr>
          <w:rFonts w:ascii="Garamond" w:hAnsi="Garamond"/>
          <w:sz w:val="22"/>
          <w:szCs w:val="22"/>
          <w:lang w:val="es-ES"/>
        </w:rPr>
        <w:t xml:space="preserve"> 29, España, 2009.</w:t>
      </w:r>
    </w:p>
  </w:footnote>
  <w:footnote w:id="5">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Bifaretti, Marcela, </w:t>
      </w:r>
      <w:r>
        <w:rPr>
          <w:rFonts w:ascii="Garamond" w:hAnsi="Garamond"/>
          <w:sz w:val="22"/>
          <w:szCs w:val="22"/>
        </w:rPr>
        <w:t>“</w:t>
      </w:r>
      <w:r w:rsidRPr="00C84128">
        <w:rPr>
          <w:rFonts w:ascii="Garamond" w:hAnsi="Garamond"/>
          <w:sz w:val="22"/>
          <w:szCs w:val="22"/>
        </w:rPr>
        <w:t>La importancia de los costos ambientales en el sistema de información contable</w:t>
      </w:r>
      <w:r>
        <w:rPr>
          <w:rFonts w:ascii="Garamond" w:hAnsi="Garamond"/>
          <w:sz w:val="22"/>
          <w:szCs w:val="22"/>
        </w:rPr>
        <w:t>”</w:t>
      </w:r>
      <w:r w:rsidRPr="00C84128">
        <w:rPr>
          <w:rFonts w:ascii="Garamond" w:hAnsi="Garamond"/>
          <w:sz w:val="22"/>
          <w:szCs w:val="22"/>
        </w:rPr>
        <w:t>,</w:t>
      </w:r>
      <w:r w:rsidRPr="00E8751B">
        <w:rPr>
          <w:rFonts w:ascii="Garamond" w:hAnsi="Garamond"/>
          <w:sz w:val="22"/>
          <w:szCs w:val="22"/>
        </w:rPr>
        <w:t xml:space="preserve"> </w:t>
      </w:r>
      <w:r w:rsidRPr="00C84128">
        <w:rPr>
          <w:rFonts w:ascii="Garamond" w:hAnsi="Garamond"/>
          <w:i/>
          <w:sz w:val="22"/>
          <w:szCs w:val="22"/>
        </w:rPr>
        <w:t>Revista de Contabilidad y Auditoría</w:t>
      </w:r>
      <w:r w:rsidRPr="00E8751B">
        <w:rPr>
          <w:rFonts w:ascii="Garamond" w:hAnsi="Garamond"/>
          <w:sz w:val="22"/>
          <w:szCs w:val="22"/>
        </w:rPr>
        <w:t>, Argentina, 2008, pp.</w:t>
      </w:r>
      <w:r>
        <w:rPr>
          <w:rFonts w:ascii="Garamond" w:hAnsi="Garamond"/>
          <w:sz w:val="22"/>
          <w:szCs w:val="22"/>
        </w:rPr>
        <w:t xml:space="preserve"> </w:t>
      </w:r>
      <w:r w:rsidRPr="00E8751B">
        <w:rPr>
          <w:rFonts w:ascii="Garamond" w:hAnsi="Garamond"/>
          <w:sz w:val="22"/>
          <w:szCs w:val="22"/>
        </w:rPr>
        <w:t>3-42.</w:t>
      </w:r>
    </w:p>
  </w:footnote>
  <w:footnote w:id="6">
    <w:p w:rsidR="002204E0" w:rsidRPr="00C84128" w:rsidRDefault="002204E0" w:rsidP="002204E0">
      <w:pPr>
        <w:pStyle w:val="Textonotapie"/>
        <w:ind w:left="-142" w:right="-142"/>
        <w:jc w:val="both"/>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Caferrata, Néstor Alfredo, </w:t>
      </w:r>
      <w:r w:rsidRPr="00E8751B">
        <w:rPr>
          <w:rFonts w:ascii="Garamond" w:hAnsi="Garamond"/>
          <w:i/>
          <w:sz w:val="22"/>
          <w:szCs w:val="22"/>
        </w:rPr>
        <w:t>Introducción al derecho ambiental</w:t>
      </w:r>
      <w:r w:rsidRPr="00E8751B">
        <w:rPr>
          <w:rFonts w:ascii="Garamond" w:hAnsi="Garamond"/>
          <w:sz w:val="22"/>
          <w:szCs w:val="22"/>
        </w:rPr>
        <w:t xml:space="preserve">, </w:t>
      </w:r>
      <w:r>
        <w:rPr>
          <w:rFonts w:ascii="Garamond" w:hAnsi="Garamond"/>
          <w:sz w:val="22"/>
          <w:szCs w:val="22"/>
        </w:rPr>
        <w:t xml:space="preserve">México, </w:t>
      </w:r>
      <w:r w:rsidRPr="00E8751B">
        <w:rPr>
          <w:rFonts w:ascii="Garamond" w:hAnsi="Garamond"/>
          <w:sz w:val="22"/>
          <w:szCs w:val="22"/>
        </w:rPr>
        <w:t>PNUMA-Semarnat, 2003, pp.7-11.</w:t>
      </w:r>
      <w:r>
        <w:rPr>
          <w:rFonts w:ascii="Garamond" w:hAnsi="Garamond"/>
          <w:sz w:val="22"/>
          <w:szCs w:val="22"/>
        </w:rPr>
        <w:t xml:space="preserve"> P</w:t>
      </w:r>
      <w:r w:rsidRPr="00E8751B">
        <w:rPr>
          <w:rFonts w:ascii="Garamond" w:hAnsi="Garamond"/>
          <w:sz w:val="22"/>
          <w:szCs w:val="22"/>
        </w:rPr>
        <w:t>rimeras contribuciones de la auditoría ambiental como institución desde la ciencia contable, ejecutad</w:t>
      </w:r>
      <w:r>
        <w:rPr>
          <w:rFonts w:ascii="Garamond" w:hAnsi="Garamond"/>
          <w:sz w:val="22"/>
          <w:szCs w:val="22"/>
        </w:rPr>
        <w:t>a por la Administración Pública.</w:t>
      </w:r>
    </w:p>
  </w:footnote>
  <w:footnote w:id="7">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Carmona Lara, María, </w:t>
      </w:r>
      <w:r>
        <w:rPr>
          <w:rFonts w:ascii="Garamond" w:hAnsi="Garamond"/>
          <w:sz w:val="22"/>
          <w:szCs w:val="22"/>
        </w:rPr>
        <w:t>“</w:t>
      </w:r>
      <w:r w:rsidRPr="00C84128">
        <w:rPr>
          <w:rFonts w:ascii="Garamond" w:hAnsi="Garamond"/>
          <w:sz w:val="22"/>
          <w:szCs w:val="22"/>
        </w:rPr>
        <w:t>Derecho ambiental</w:t>
      </w:r>
      <w:r>
        <w:rPr>
          <w:rFonts w:ascii="Garamond" w:hAnsi="Garamond"/>
          <w:sz w:val="22"/>
          <w:szCs w:val="22"/>
        </w:rPr>
        <w:t>”</w:t>
      </w:r>
      <w:r w:rsidRPr="00C84128">
        <w:rPr>
          <w:rFonts w:ascii="Garamond" w:hAnsi="Garamond"/>
          <w:sz w:val="22"/>
          <w:szCs w:val="22"/>
        </w:rPr>
        <w:t>,</w:t>
      </w:r>
      <w:r w:rsidRPr="00E8751B">
        <w:rPr>
          <w:rFonts w:ascii="Garamond" w:hAnsi="Garamond"/>
          <w:sz w:val="22"/>
          <w:szCs w:val="22"/>
        </w:rPr>
        <w:t xml:space="preserve"> </w:t>
      </w:r>
      <w:r w:rsidRPr="00C84128">
        <w:rPr>
          <w:rFonts w:ascii="Garamond" w:hAnsi="Garamond"/>
          <w:i/>
          <w:sz w:val="22"/>
          <w:szCs w:val="22"/>
        </w:rPr>
        <w:t>Revista de derecho UNAM</w:t>
      </w:r>
      <w:r>
        <w:rPr>
          <w:rFonts w:ascii="Garamond" w:hAnsi="Garamond"/>
          <w:sz w:val="22"/>
          <w:szCs w:val="22"/>
        </w:rPr>
        <w:t>, México</w:t>
      </w:r>
      <w:r w:rsidRPr="00E8751B">
        <w:rPr>
          <w:rFonts w:ascii="Garamond" w:hAnsi="Garamond"/>
          <w:sz w:val="22"/>
          <w:szCs w:val="22"/>
        </w:rPr>
        <w:t>, 2010, p.</w:t>
      </w:r>
      <w:r>
        <w:rPr>
          <w:rFonts w:ascii="Garamond" w:hAnsi="Garamond"/>
          <w:sz w:val="22"/>
          <w:szCs w:val="22"/>
        </w:rPr>
        <w:t xml:space="preserve"> </w:t>
      </w:r>
      <w:r w:rsidRPr="00E8751B">
        <w:rPr>
          <w:rFonts w:ascii="Garamond" w:hAnsi="Garamond"/>
          <w:sz w:val="22"/>
          <w:szCs w:val="22"/>
        </w:rPr>
        <w:t>12.</w:t>
      </w:r>
      <w:r>
        <w:rPr>
          <w:rFonts w:ascii="Garamond" w:hAnsi="Garamond"/>
          <w:sz w:val="22"/>
          <w:szCs w:val="22"/>
        </w:rPr>
        <w:t xml:space="preserve"> P</w:t>
      </w:r>
      <w:r w:rsidRPr="00E8751B">
        <w:rPr>
          <w:rFonts w:ascii="Garamond" w:hAnsi="Garamond"/>
          <w:sz w:val="22"/>
          <w:szCs w:val="22"/>
        </w:rPr>
        <w:t>osiciones jurídicas permiten conocer el método aplicado a la auditoría ambiental, tutelada en los ordenamientos jurídicos desde el derecho administrativo ambiental</w:t>
      </w:r>
      <w:r>
        <w:rPr>
          <w:rFonts w:ascii="Garamond" w:hAnsi="Garamond"/>
          <w:sz w:val="22"/>
          <w:szCs w:val="22"/>
        </w:rPr>
        <w:t>.</w:t>
      </w:r>
      <w:r w:rsidRPr="00E8751B">
        <w:rPr>
          <w:rFonts w:ascii="Garamond" w:hAnsi="Garamond"/>
          <w:sz w:val="22"/>
          <w:szCs w:val="22"/>
        </w:rPr>
        <w:t xml:space="preserve"> </w:t>
      </w:r>
    </w:p>
  </w:footnote>
  <w:footnote w:id="8">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Martín Mateo, Ramón, </w:t>
      </w:r>
      <w:r w:rsidRPr="00E8751B">
        <w:rPr>
          <w:rFonts w:ascii="Garamond" w:hAnsi="Garamond"/>
          <w:i/>
          <w:sz w:val="22"/>
          <w:szCs w:val="22"/>
        </w:rPr>
        <w:t>Derecho administrativo ambiental</w:t>
      </w:r>
      <w:r w:rsidRPr="00E8751B">
        <w:rPr>
          <w:rFonts w:ascii="Garamond" w:hAnsi="Garamond"/>
          <w:sz w:val="22"/>
          <w:szCs w:val="22"/>
        </w:rPr>
        <w:t>, 6</w:t>
      </w:r>
      <w:r>
        <w:rPr>
          <w:rFonts w:ascii="Garamond" w:hAnsi="Garamond"/>
          <w:sz w:val="22"/>
          <w:szCs w:val="22"/>
          <w:vertAlign w:val="superscript"/>
        </w:rPr>
        <w:t>a</w:t>
      </w:r>
      <w:r>
        <w:rPr>
          <w:rFonts w:ascii="Garamond" w:hAnsi="Garamond"/>
          <w:sz w:val="22"/>
          <w:szCs w:val="22"/>
        </w:rPr>
        <w:t xml:space="preserve"> ed.</w:t>
      </w:r>
      <w:r w:rsidRPr="00E8751B">
        <w:rPr>
          <w:rFonts w:ascii="Garamond" w:hAnsi="Garamond"/>
          <w:sz w:val="22"/>
          <w:szCs w:val="22"/>
        </w:rPr>
        <w:t>, España, Trivium, 1997, pp.</w:t>
      </w:r>
      <w:r>
        <w:rPr>
          <w:rFonts w:ascii="Garamond" w:hAnsi="Garamond"/>
          <w:sz w:val="22"/>
          <w:szCs w:val="22"/>
        </w:rPr>
        <w:t xml:space="preserve"> </w:t>
      </w:r>
      <w:r w:rsidRPr="00E8751B">
        <w:rPr>
          <w:rFonts w:ascii="Garamond" w:hAnsi="Garamond"/>
          <w:sz w:val="22"/>
          <w:szCs w:val="22"/>
        </w:rPr>
        <w:t>1-79.</w:t>
      </w:r>
    </w:p>
  </w:footnote>
  <w:footnote w:id="9">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Besa Antunes, Paulo</w:t>
      </w:r>
      <w:r>
        <w:rPr>
          <w:rFonts w:ascii="Garamond" w:hAnsi="Garamond"/>
          <w:sz w:val="22"/>
          <w:szCs w:val="22"/>
        </w:rPr>
        <w:t xml:space="preserve"> de, Derecho a</w:t>
      </w:r>
      <w:r w:rsidRPr="00E8751B">
        <w:rPr>
          <w:rFonts w:ascii="Garamond" w:hAnsi="Garamond"/>
          <w:sz w:val="22"/>
          <w:szCs w:val="22"/>
        </w:rPr>
        <w:t>mbiental, 12</w:t>
      </w:r>
      <w:r>
        <w:rPr>
          <w:rFonts w:ascii="Garamond" w:hAnsi="Garamond"/>
          <w:sz w:val="22"/>
          <w:szCs w:val="22"/>
          <w:vertAlign w:val="superscript"/>
        </w:rPr>
        <w:t>a</w:t>
      </w:r>
      <w:r>
        <w:rPr>
          <w:rFonts w:ascii="Garamond" w:hAnsi="Garamond"/>
          <w:sz w:val="22"/>
          <w:szCs w:val="22"/>
        </w:rPr>
        <w:t xml:space="preserve"> ed.</w:t>
      </w:r>
      <w:r w:rsidRPr="00E8751B">
        <w:rPr>
          <w:rFonts w:ascii="Garamond" w:hAnsi="Garamond"/>
          <w:sz w:val="22"/>
          <w:szCs w:val="22"/>
        </w:rPr>
        <w:t>, Editorial Lumen Juris, Brasil, 2010, pp.211-253.</w:t>
      </w:r>
    </w:p>
  </w:footnote>
  <w:footnote w:id="10">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Lorenzetti, Ricardo, </w:t>
      </w:r>
      <w:r w:rsidRPr="00E8751B">
        <w:rPr>
          <w:rFonts w:ascii="Garamond" w:hAnsi="Garamond"/>
          <w:i/>
          <w:sz w:val="22"/>
          <w:szCs w:val="22"/>
        </w:rPr>
        <w:t>Teoría del derecho ambiental</w:t>
      </w:r>
      <w:r w:rsidRPr="00E8751B">
        <w:rPr>
          <w:rFonts w:ascii="Garamond" w:hAnsi="Garamond"/>
          <w:sz w:val="22"/>
          <w:szCs w:val="22"/>
        </w:rPr>
        <w:t xml:space="preserve">, </w:t>
      </w:r>
      <w:r>
        <w:rPr>
          <w:rFonts w:ascii="Garamond" w:hAnsi="Garamond"/>
          <w:sz w:val="22"/>
          <w:szCs w:val="22"/>
        </w:rPr>
        <w:t xml:space="preserve">México, Porrúa, </w:t>
      </w:r>
      <w:r w:rsidRPr="00E8751B">
        <w:rPr>
          <w:rFonts w:ascii="Garamond" w:hAnsi="Garamond"/>
          <w:sz w:val="22"/>
          <w:szCs w:val="22"/>
        </w:rPr>
        <w:t>2008, pp.1-37.</w:t>
      </w:r>
      <w:r>
        <w:rPr>
          <w:rFonts w:ascii="Garamond" w:hAnsi="Garamond"/>
          <w:sz w:val="22"/>
          <w:szCs w:val="22"/>
        </w:rPr>
        <w:t xml:space="preserve"> Responsabilidad de la a</w:t>
      </w:r>
      <w:r w:rsidRPr="00E8751B">
        <w:rPr>
          <w:rFonts w:ascii="Garamond" w:hAnsi="Garamond"/>
          <w:sz w:val="22"/>
          <w:szCs w:val="22"/>
        </w:rPr>
        <w:t>dministración y el ciudadano en la protec</w:t>
      </w:r>
      <w:r>
        <w:rPr>
          <w:rFonts w:ascii="Garamond" w:hAnsi="Garamond"/>
          <w:sz w:val="22"/>
          <w:szCs w:val="22"/>
        </w:rPr>
        <w:t>ción ambiental con la auditoría.</w:t>
      </w:r>
      <w:r w:rsidRPr="00E8751B">
        <w:rPr>
          <w:rFonts w:ascii="Garamond" w:hAnsi="Garamond"/>
          <w:sz w:val="22"/>
          <w:szCs w:val="22"/>
        </w:rPr>
        <w:t xml:space="preserve"> </w:t>
      </w:r>
    </w:p>
  </w:footnote>
  <w:footnote w:id="11">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Sanz Larruga, Francisco, </w:t>
      </w:r>
      <w:r w:rsidRPr="00E8751B">
        <w:rPr>
          <w:rFonts w:ascii="Garamond" w:hAnsi="Garamond"/>
          <w:i/>
          <w:sz w:val="22"/>
          <w:szCs w:val="22"/>
        </w:rPr>
        <w:t>Sostenibilidad ambiental y derecho administrativo: ¿nuevo remedio ante la crisis económica o una exigencia constitucional? A propósito de la nueva Ley de Economía Sostenible</w:t>
      </w:r>
      <w:r w:rsidRPr="00E8751B">
        <w:rPr>
          <w:rFonts w:ascii="Garamond" w:hAnsi="Garamond"/>
          <w:sz w:val="22"/>
          <w:szCs w:val="22"/>
        </w:rPr>
        <w:t>, VI Congreso de la Asociación de profesores de Derecho Administrativo, Palma de Mallorca, 2011.</w:t>
      </w:r>
    </w:p>
  </w:footnote>
  <w:footnote w:id="12">
    <w:p w:rsidR="002204E0" w:rsidRPr="00E8751B" w:rsidRDefault="002204E0" w:rsidP="002204E0">
      <w:pPr>
        <w:pStyle w:val="Textonotapie"/>
        <w:tabs>
          <w:tab w:val="left" w:pos="757"/>
        </w:tabs>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Betancort Rodríguez, Andrés, </w:t>
      </w:r>
      <w:r w:rsidRPr="00FA078B">
        <w:rPr>
          <w:rFonts w:ascii="Garamond" w:hAnsi="Garamond"/>
          <w:i/>
          <w:sz w:val="22"/>
          <w:szCs w:val="22"/>
        </w:rPr>
        <w:t>Derecho Ambiental</w:t>
      </w:r>
      <w:r w:rsidRPr="00E8751B">
        <w:rPr>
          <w:rFonts w:ascii="Garamond" w:hAnsi="Garamond"/>
          <w:sz w:val="22"/>
          <w:szCs w:val="22"/>
        </w:rPr>
        <w:t>, Madrid, Las Rosas, 2014.</w:t>
      </w:r>
    </w:p>
  </w:footnote>
  <w:footnote w:id="13">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Mora Ruíz, Manuela, </w:t>
      </w:r>
      <w:r>
        <w:rPr>
          <w:rFonts w:ascii="Garamond" w:hAnsi="Garamond"/>
          <w:sz w:val="22"/>
          <w:szCs w:val="22"/>
        </w:rPr>
        <w:t>“</w:t>
      </w:r>
      <w:r w:rsidRPr="000B2DBB">
        <w:rPr>
          <w:rFonts w:ascii="Garamond" w:hAnsi="Garamond"/>
          <w:sz w:val="22"/>
          <w:szCs w:val="22"/>
        </w:rPr>
        <w:t>La gestión ambiental compartida: función pública y mercado</w:t>
      </w:r>
      <w:r>
        <w:rPr>
          <w:rFonts w:ascii="Garamond" w:hAnsi="Garamond"/>
          <w:sz w:val="22"/>
          <w:szCs w:val="22"/>
        </w:rPr>
        <w:t>”</w:t>
      </w:r>
      <w:r w:rsidRPr="00E8751B">
        <w:rPr>
          <w:rFonts w:ascii="Garamond" w:hAnsi="Garamond"/>
          <w:sz w:val="22"/>
          <w:szCs w:val="22"/>
        </w:rPr>
        <w:t xml:space="preserve">, </w:t>
      </w:r>
      <w:r w:rsidRPr="000B2DBB">
        <w:rPr>
          <w:rFonts w:ascii="Garamond" w:hAnsi="Garamond"/>
          <w:i/>
          <w:sz w:val="22"/>
          <w:szCs w:val="22"/>
        </w:rPr>
        <w:t>Revista Catalana de Derecho Ambiental</w:t>
      </w:r>
      <w:r>
        <w:rPr>
          <w:rFonts w:ascii="Garamond" w:hAnsi="Garamond"/>
          <w:sz w:val="22"/>
          <w:szCs w:val="22"/>
        </w:rPr>
        <w:t>, núm.</w:t>
      </w:r>
      <w:r w:rsidRPr="00E8751B">
        <w:rPr>
          <w:rFonts w:ascii="Garamond" w:hAnsi="Garamond"/>
          <w:sz w:val="22"/>
          <w:szCs w:val="22"/>
        </w:rPr>
        <w:t xml:space="preserve"> 4, España, 2012.</w:t>
      </w:r>
    </w:p>
  </w:footnote>
  <w:footnote w:id="14">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Lozano Cutanda, Blanca, </w:t>
      </w:r>
      <w:r w:rsidRPr="00E8751B">
        <w:rPr>
          <w:rFonts w:ascii="Garamond" w:hAnsi="Garamond"/>
          <w:i/>
          <w:sz w:val="22"/>
          <w:szCs w:val="22"/>
        </w:rPr>
        <w:t>Tratado de derecho ambiental</w:t>
      </w:r>
      <w:r w:rsidRPr="00E8751B">
        <w:rPr>
          <w:rFonts w:ascii="Garamond" w:hAnsi="Garamond"/>
          <w:sz w:val="22"/>
          <w:szCs w:val="22"/>
        </w:rPr>
        <w:t xml:space="preserve">, </w:t>
      </w:r>
      <w:r>
        <w:rPr>
          <w:rFonts w:ascii="Garamond" w:hAnsi="Garamond"/>
          <w:sz w:val="22"/>
          <w:szCs w:val="22"/>
        </w:rPr>
        <w:t xml:space="preserve">España, </w:t>
      </w:r>
      <w:r w:rsidRPr="00E8751B">
        <w:rPr>
          <w:rFonts w:ascii="Garamond" w:hAnsi="Garamond"/>
          <w:sz w:val="22"/>
          <w:szCs w:val="22"/>
        </w:rPr>
        <w:t>CEF, 2015.</w:t>
      </w:r>
    </w:p>
  </w:footnote>
  <w:footnote w:id="15">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Méndez Gutiérrez del Valle, Ricardo, </w:t>
      </w:r>
      <w:r w:rsidRPr="00E8751B">
        <w:rPr>
          <w:rFonts w:ascii="Garamond" w:hAnsi="Garamond"/>
          <w:i/>
          <w:sz w:val="22"/>
          <w:szCs w:val="22"/>
        </w:rPr>
        <w:t>Teoría de las revoluciones industriales</w:t>
      </w:r>
      <w:r w:rsidRPr="00E8751B">
        <w:rPr>
          <w:rFonts w:ascii="Garamond" w:hAnsi="Garamond"/>
          <w:sz w:val="22"/>
          <w:szCs w:val="22"/>
        </w:rPr>
        <w:t>, España, Ministerio de Fomento, 2009.</w:t>
      </w:r>
    </w:p>
  </w:footnote>
  <w:footnote w:id="16">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Elstein, Steven, </w:t>
      </w:r>
      <w:r>
        <w:rPr>
          <w:rFonts w:ascii="Garamond" w:hAnsi="Garamond"/>
          <w:sz w:val="22"/>
          <w:szCs w:val="22"/>
        </w:rPr>
        <w:t>“</w:t>
      </w:r>
      <w:r w:rsidRPr="001C6F55">
        <w:rPr>
          <w:rFonts w:ascii="Garamond" w:hAnsi="Garamond"/>
          <w:sz w:val="22"/>
          <w:szCs w:val="22"/>
        </w:rPr>
        <w:t>La auditoría del medio ambiente crece y evoluciona para afrontar los retos de un ambiente cambiante</w:t>
      </w:r>
      <w:r>
        <w:rPr>
          <w:rFonts w:ascii="Garamond" w:hAnsi="Garamond"/>
          <w:sz w:val="22"/>
          <w:szCs w:val="22"/>
        </w:rPr>
        <w:t>”</w:t>
      </w:r>
      <w:r w:rsidRPr="001C6F55">
        <w:rPr>
          <w:rFonts w:ascii="Garamond" w:hAnsi="Garamond"/>
          <w:sz w:val="22"/>
          <w:szCs w:val="22"/>
        </w:rPr>
        <w:t>,</w:t>
      </w:r>
      <w:r w:rsidRPr="00E8751B">
        <w:rPr>
          <w:rFonts w:ascii="Garamond" w:hAnsi="Garamond"/>
          <w:sz w:val="22"/>
          <w:szCs w:val="22"/>
        </w:rPr>
        <w:t xml:space="preserve"> </w:t>
      </w:r>
      <w:r w:rsidRPr="001C6F55">
        <w:rPr>
          <w:rFonts w:ascii="Garamond" w:hAnsi="Garamond"/>
          <w:i/>
          <w:sz w:val="22"/>
          <w:szCs w:val="22"/>
        </w:rPr>
        <w:t>Revista de Auditoría Gubernamental</w:t>
      </w:r>
      <w:r w:rsidRPr="00E8751B">
        <w:rPr>
          <w:rFonts w:ascii="Garamond" w:hAnsi="Garamond"/>
          <w:sz w:val="22"/>
          <w:szCs w:val="22"/>
        </w:rPr>
        <w:t>, INTOSAI, 2012.</w:t>
      </w:r>
    </w:p>
  </w:footnote>
  <w:footnote w:id="17">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Basurto González, Daniel, </w:t>
      </w:r>
      <w:r>
        <w:rPr>
          <w:rFonts w:ascii="Garamond" w:hAnsi="Garamond"/>
          <w:sz w:val="22"/>
          <w:szCs w:val="22"/>
        </w:rPr>
        <w:t>“</w:t>
      </w:r>
      <w:r w:rsidRPr="001C6F55">
        <w:rPr>
          <w:rFonts w:ascii="Garamond" w:hAnsi="Garamond"/>
          <w:sz w:val="22"/>
          <w:szCs w:val="22"/>
        </w:rPr>
        <w:t>Responsabilidad social y ambiental en las empresas</w:t>
      </w:r>
      <w:r>
        <w:rPr>
          <w:rFonts w:ascii="Garamond" w:hAnsi="Garamond"/>
          <w:sz w:val="22"/>
          <w:szCs w:val="22"/>
        </w:rPr>
        <w:t>”</w:t>
      </w:r>
      <w:r w:rsidRPr="00E8751B">
        <w:rPr>
          <w:rFonts w:ascii="Garamond" w:hAnsi="Garamond"/>
          <w:sz w:val="22"/>
          <w:szCs w:val="22"/>
        </w:rPr>
        <w:t xml:space="preserve">, </w:t>
      </w:r>
      <w:r w:rsidRPr="001C6F55">
        <w:rPr>
          <w:rFonts w:ascii="Garamond" w:hAnsi="Garamond"/>
          <w:i/>
          <w:sz w:val="22"/>
          <w:szCs w:val="22"/>
        </w:rPr>
        <w:t>Revista Política y Gestión Empresarial</w:t>
      </w:r>
      <w:r>
        <w:rPr>
          <w:rFonts w:ascii="Garamond" w:hAnsi="Garamond"/>
          <w:sz w:val="22"/>
          <w:szCs w:val="22"/>
        </w:rPr>
        <w:t xml:space="preserve">, México, </w:t>
      </w:r>
      <w:r w:rsidRPr="00E8751B">
        <w:rPr>
          <w:rFonts w:ascii="Garamond" w:hAnsi="Garamond"/>
          <w:sz w:val="22"/>
          <w:szCs w:val="22"/>
        </w:rPr>
        <w:t>2012.</w:t>
      </w:r>
    </w:p>
  </w:footnote>
  <w:footnote w:id="18">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López Hernández, Antonio, </w:t>
      </w:r>
      <w:r>
        <w:rPr>
          <w:rFonts w:ascii="Garamond" w:hAnsi="Garamond"/>
          <w:sz w:val="22"/>
          <w:szCs w:val="22"/>
        </w:rPr>
        <w:t>“</w:t>
      </w:r>
      <w:r w:rsidRPr="00DF71AF">
        <w:rPr>
          <w:rFonts w:ascii="Garamond" w:hAnsi="Garamond"/>
          <w:sz w:val="22"/>
          <w:szCs w:val="22"/>
        </w:rPr>
        <w:t>Auditoría y gestión de los fondos públicos</w:t>
      </w:r>
      <w:r>
        <w:rPr>
          <w:rFonts w:ascii="Garamond" w:hAnsi="Garamond"/>
          <w:sz w:val="22"/>
          <w:szCs w:val="22"/>
        </w:rPr>
        <w:t>”</w:t>
      </w:r>
      <w:r w:rsidRPr="00DF71AF">
        <w:rPr>
          <w:rFonts w:ascii="Garamond" w:hAnsi="Garamond"/>
          <w:sz w:val="22"/>
          <w:szCs w:val="22"/>
        </w:rPr>
        <w:t>,</w:t>
      </w:r>
      <w:r w:rsidRPr="00E8751B">
        <w:rPr>
          <w:rFonts w:ascii="Garamond" w:hAnsi="Garamond"/>
          <w:sz w:val="22"/>
          <w:szCs w:val="22"/>
        </w:rPr>
        <w:t xml:space="preserve"> </w:t>
      </w:r>
      <w:r w:rsidRPr="00DF71AF">
        <w:rPr>
          <w:rFonts w:ascii="Garamond" w:hAnsi="Garamond"/>
          <w:i/>
          <w:sz w:val="22"/>
          <w:szCs w:val="22"/>
        </w:rPr>
        <w:t>Revista de Auditoría Pública</w:t>
      </w:r>
      <w:r>
        <w:rPr>
          <w:rFonts w:ascii="Garamond" w:hAnsi="Garamond"/>
          <w:sz w:val="22"/>
          <w:szCs w:val="22"/>
        </w:rPr>
        <w:t>, núm.</w:t>
      </w:r>
      <w:r w:rsidRPr="00E8751B">
        <w:rPr>
          <w:rFonts w:ascii="Garamond" w:hAnsi="Garamond"/>
          <w:sz w:val="22"/>
          <w:szCs w:val="22"/>
        </w:rPr>
        <w:t xml:space="preserve"> 61, España, 2013. </w:t>
      </w:r>
    </w:p>
  </w:footnote>
  <w:footnote w:id="19">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Leff, Enrique, </w:t>
      </w:r>
      <w:r w:rsidRPr="00E8751B">
        <w:rPr>
          <w:rFonts w:ascii="Garamond" w:hAnsi="Garamond"/>
          <w:i/>
          <w:sz w:val="22"/>
          <w:szCs w:val="22"/>
        </w:rPr>
        <w:t>Complejidad, racionalidad ambiental y diálogo de saberes</w:t>
      </w:r>
      <w:r w:rsidRPr="00E8751B">
        <w:rPr>
          <w:rFonts w:ascii="Garamond" w:hAnsi="Garamond"/>
          <w:sz w:val="22"/>
          <w:szCs w:val="22"/>
        </w:rPr>
        <w:t>, Centro Nacional</w:t>
      </w:r>
      <w:r>
        <w:rPr>
          <w:rFonts w:ascii="Garamond" w:hAnsi="Garamond"/>
          <w:sz w:val="22"/>
          <w:szCs w:val="22"/>
        </w:rPr>
        <w:t xml:space="preserve"> de Educación Ambiental, México, </w:t>
      </w:r>
      <w:r w:rsidRPr="00E8751B">
        <w:rPr>
          <w:rFonts w:ascii="Garamond" w:hAnsi="Garamond"/>
          <w:sz w:val="22"/>
          <w:szCs w:val="22"/>
        </w:rPr>
        <w:t>2009.</w:t>
      </w:r>
    </w:p>
  </w:footnote>
  <w:footnote w:id="20">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sidRPr="00E8751B">
        <w:rPr>
          <w:rFonts w:ascii="Garamond" w:hAnsi="Garamond"/>
          <w:sz w:val="22"/>
          <w:szCs w:val="22"/>
        </w:rPr>
        <w:tab/>
      </w:r>
      <w:r>
        <w:rPr>
          <w:rFonts w:ascii="Garamond" w:hAnsi="Garamond"/>
          <w:sz w:val="22"/>
          <w:szCs w:val="22"/>
        </w:rPr>
        <w:t xml:space="preserve"> </w:t>
      </w:r>
      <w:r w:rsidRPr="00E8751B">
        <w:rPr>
          <w:rFonts w:ascii="Garamond" w:hAnsi="Garamond"/>
          <w:sz w:val="22"/>
          <w:szCs w:val="22"/>
        </w:rPr>
        <w:t xml:space="preserve">Murad Robles, Pedro, </w:t>
      </w:r>
      <w:r w:rsidRPr="00E8751B">
        <w:rPr>
          <w:rFonts w:ascii="Garamond" w:hAnsi="Garamond"/>
          <w:i/>
          <w:sz w:val="22"/>
          <w:szCs w:val="22"/>
        </w:rPr>
        <w:t>La auditoría ambiental voluntaria</w:t>
      </w:r>
      <w:r w:rsidRPr="00E8751B">
        <w:rPr>
          <w:rFonts w:ascii="Garamond" w:hAnsi="Garamond"/>
          <w:sz w:val="22"/>
          <w:szCs w:val="22"/>
        </w:rPr>
        <w:t xml:space="preserve">, </w:t>
      </w:r>
      <w:r>
        <w:rPr>
          <w:rFonts w:ascii="Garamond" w:hAnsi="Garamond"/>
          <w:sz w:val="22"/>
          <w:szCs w:val="22"/>
        </w:rPr>
        <w:t xml:space="preserve">México, </w:t>
      </w:r>
      <w:r w:rsidRPr="00E8751B">
        <w:rPr>
          <w:rFonts w:ascii="Garamond" w:hAnsi="Garamond"/>
          <w:sz w:val="22"/>
          <w:szCs w:val="22"/>
        </w:rPr>
        <w:t>Porrúa, 2009.</w:t>
      </w:r>
      <w:r>
        <w:rPr>
          <w:rFonts w:ascii="Garamond" w:hAnsi="Garamond"/>
          <w:sz w:val="22"/>
          <w:szCs w:val="22"/>
        </w:rPr>
        <w:t xml:space="preserve"> C</w:t>
      </w:r>
      <w:r w:rsidRPr="00E8751B">
        <w:rPr>
          <w:rFonts w:ascii="Garamond" w:hAnsi="Garamond"/>
          <w:sz w:val="22"/>
          <w:szCs w:val="22"/>
        </w:rPr>
        <w:t>oncepto, antecedentes, fundamentación jurídica y evaluación de esta institución jurídica para concebir la e</w:t>
      </w:r>
      <w:r>
        <w:rPr>
          <w:rFonts w:ascii="Garamond" w:hAnsi="Garamond"/>
          <w:sz w:val="22"/>
          <w:szCs w:val="22"/>
        </w:rPr>
        <w:t>mpresa amigable con el ambiente.</w:t>
      </w:r>
    </w:p>
  </w:footnote>
  <w:footnote w:id="21">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Vázquez García, Aquilino, </w:t>
      </w:r>
      <w:r w:rsidRPr="003317E8">
        <w:rPr>
          <w:rFonts w:ascii="Garamond" w:hAnsi="Garamond"/>
          <w:sz w:val="22"/>
          <w:szCs w:val="22"/>
        </w:rPr>
        <w:t xml:space="preserve">email: </w:t>
      </w:r>
      <w:r w:rsidRPr="003317E8">
        <w:rPr>
          <w:rFonts w:ascii="Garamond" w:hAnsi="Garamond"/>
          <w:sz w:val="22"/>
          <w:szCs w:val="22"/>
          <w:u w:val="single"/>
        </w:rPr>
        <w:t>avazquez@secja.com.mx</w:t>
      </w:r>
      <w:r w:rsidRPr="003317E8">
        <w:rPr>
          <w:rFonts w:ascii="Garamond" w:hAnsi="Garamond"/>
          <w:sz w:val="22"/>
          <w:szCs w:val="22"/>
        </w:rPr>
        <w:t xml:space="preserve">, fecha: </w:t>
      </w:r>
      <w:r w:rsidRPr="003317E8">
        <w:rPr>
          <w:rFonts w:ascii="Garamond" w:hAnsi="Garamond"/>
          <w:sz w:val="22"/>
          <w:szCs w:val="22"/>
          <w:u w:val="single"/>
        </w:rPr>
        <w:t>14 de abril de 2015</w:t>
      </w:r>
      <w:r w:rsidRPr="003317E8">
        <w:rPr>
          <w:rFonts w:ascii="Garamond" w:hAnsi="Garamond"/>
          <w:sz w:val="22"/>
          <w:szCs w:val="22"/>
        </w:rPr>
        <w:t xml:space="preserve">, hora: </w:t>
      </w:r>
      <w:r w:rsidRPr="003317E8">
        <w:rPr>
          <w:rFonts w:ascii="Garamond" w:hAnsi="Garamond"/>
          <w:sz w:val="22"/>
          <w:szCs w:val="22"/>
          <w:u w:val="single"/>
        </w:rPr>
        <w:t>08.01 a.m</w:t>
      </w:r>
      <w:r w:rsidRPr="003317E8">
        <w:rPr>
          <w:rFonts w:ascii="Garamond" w:hAnsi="Garamond"/>
          <w:sz w:val="22"/>
          <w:szCs w:val="22"/>
        </w:rPr>
        <w:t>.</w:t>
      </w:r>
      <w:r w:rsidRPr="00E8751B">
        <w:rPr>
          <w:rFonts w:ascii="Garamond" w:hAnsi="Garamond"/>
          <w:sz w:val="22"/>
          <w:szCs w:val="22"/>
        </w:rPr>
        <w:t xml:space="preserve"> Sobre la consulta realizada sobre esta institución jurídica del derecho administrativo ambiental, Seminario de Derecho Ambiental, Facultad de Derecho, Universidad Nacional Autónoma de México, México D. F.</w:t>
      </w:r>
    </w:p>
  </w:footnote>
  <w:footnote w:id="22">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Fernández de Gatta Sánchez, Dionisio, Documento TOL 1.436.850, España, 2010, pp.</w:t>
      </w:r>
      <w:r>
        <w:rPr>
          <w:rFonts w:ascii="Garamond" w:hAnsi="Garamond"/>
          <w:sz w:val="22"/>
          <w:szCs w:val="22"/>
        </w:rPr>
        <w:t xml:space="preserve"> </w:t>
      </w:r>
      <w:r w:rsidRPr="00E8751B">
        <w:rPr>
          <w:rFonts w:ascii="Garamond" w:hAnsi="Garamond"/>
          <w:sz w:val="22"/>
          <w:szCs w:val="22"/>
        </w:rPr>
        <w:t>1-58.</w:t>
      </w:r>
      <w:r>
        <w:rPr>
          <w:rFonts w:ascii="Garamond" w:hAnsi="Garamond"/>
          <w:sz w:val="22"/>
          <w:szCs w:val="22"/>
        </w:rPr>
        <w:t xml:space="preserve"> H</w:t>
      </w:r>
      <w:r w:rsidRPr="00E8751B">
        <w:rPr>
          <w:rFonts w:ascii="Garamond" w:hAnsi="Garamond"/>
          <w:sz w:val="22"/>
          <w:szCs w:val="22"/>
        </w:rPr>
        <w:t>ay consenso desde posiciones jurídicas en la Unión Europea para aplicar las herramientas de gestión y en especial la auditoría ambiental para construir empres</w:t>
      </w:r>
      <w:r>
        <w:rPr>
          <w:rFonts w:ascii="Garamond" w:hAnsi="Garamond"/>
          <w:sz w:val="22"/>
          <w:szCs w:val="22"/>
        </w:rPr>
        <w:t>as amigables con el ambiente.</w:t>
      </w:r>
      <w:r w:rsidRPr="00E8751B">
        <w:rPr>
          <w:rFonts w:ascii="Garamond" w:hAnsi="Garamond"/>
          <w:sz w:val="22"/>
          <w:szCs w:val="22"/>
        </w:rPr>
        <w:t xml:space="preserve"> </w:t>
      </w:r>
    </w:p>
  </w:footnote>
  <w:footnote w:id="23">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sidRPr="00E8751B">
        <w:rPr>
          <w:rFonts w:ascii="Garamond" w:hAnsi="Garamond"/>
          <w:sz w:val="22"/>
          <w:szCs w:val="22"/>
        </w:rPr>
        <w:tab/>
      </w:r>
      <w:r>
        <w:rPr>
          <w:rFonts w:ascii="Garamond" w:hAnsi="Garamond"/>
          <w:sz w:val="22"/>
          <w:szCs w:val="22"/>
        </w:rPr>
        <w:t xml:space="preserve"> </w:t>
      </w:r>
      <w:r w:rsidRPr="00E8751B">
        <w:rPr>
          <w:rFonts w:ascii="Garamond" w:hAnsi="Garamond"/>
          <w:sz w:val="22"/>
          <w:szCs w:val="22"/>
        </w:rPr>
        <w:t xml:space="preserve">Muñoz-Martín, Juan, </w:t>
      </w:r>
      <w:r>
        <w:rPr>
          <w:rFonts w:ascii="Garamond" w:hAnsi="Garamond"/>
          <w:sz w:val="22"/>
          <w:szCs w:val="22"/>
        </w:rPr>
        <w:t>“</w:t>
      </w:r>
      <w:r w:rsidRPr="00C9111A">
        <w:rPr>
          <w:rFonts w:ascii="Garamond" w:hAnsi="Garamond"/>
          <w:sz w:val="22"/>
          <w:szCs w:val="22"/>
        </w:rPr>
        <w:t>Ética empresarial, responsabilidad social corporativa y creación de valor compartido</w:t>
      </w:r>
      <w:r>
        <w:rPr>
          <w:rFonts w:ascii="Garamond" w:hAnsi="Garamond"/>
          <w:sz w:val="22"/>
          <w:szCs w:val="22"/>
        </w:rPr>
        <w:t>”</w:t>
      </w:r>
      <w:r w:rsidRPr="00E8751B">
        <w:rPr>
          <w:rFonts w:ascii="Garamond" w:hAnsi="Garamond"/>
          <w:i/>
          <w:sz w:val="22"/>
          <w:szCs w:val="22"/>
        </w:rPr>
        <w:t xml:space="preserve">, </w:t>
      </w:r>
      <w:r w:rsidRPr="00C9111A">
        <w:rPr>
          <w:rFonts w:ascii="Garamond" w:hAnsi="Garamond"/>
          <w:i/>
          <w:sz w:val="22"/>
          <w:szCs w:val="22"/>
        </w:rPr>
        <w:t>Revista Globalización, Competitividad y Gobernabilidad</w:t>
      </w:r>
      <w:r w:rsidRPr="00E8751B">
        <w:rPr>
          <w:rFonts w:ascii="Garamond" w:hAnsi="Garamond"/>
          <w:sz w:val="22"/>
          <w:szCs w:val="22"/>
        </w:rPr>
        <w:t>, España, 2013.</w:t>
      </w:r>
    </w:p>
  </w:footnote>
  <w:footnote w:id="24">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Vega Centeno, Máximo, </w:t>
      </w:r>
      <w:r>
        <w:rPr>
          <w:rFonts w:ascii="Garamond" w:hAnsi="Garamond"/>
          <w:sz w:val="22"/>
          <w:szCs w:val="22"/>
        </w:rPr>
        <w:t>“</w:t>
      </w:r>
      <w:r w:rsidRPr="00C9111A">
        <w:rPr>
          <w:rFonts w:ascii="Garamond" w:hAnsi="Garamond"/>
          <w:sz w:val="22"/>
          <w:szCs w:val="22"/>
        </w:rPr>
        <w:t>La ética empresarial como creación de valor</w:t>
      </w:r>
      <w:r>
        <w:rPr>
          <w:rFonts w:ascii="Garamond" w:hAnsi="Garamond"/>
          <w:sz w:val="22"/>
          <w:szCs w:val="22"/>
        </w:rPr>
        <w:t>”</w:t>
      </w:r>
      <w:r w:rsidRPr="00C9111A">
        <w:rPr>
          <w:rFonts w:ascii="Garamond" w:hAnsi="Garamond"/>
          <w:sz w:val="22"/>
          <w:szCs w:val="22"/>
        </w:rPr>
        <w:t>,</w:t>
      </w:r>
      <w:r w:rsidRPr="00E8751B">
        <w:rPr>
          <w:rFonts w:ascii="Garamond" w:hAnsi="Garamond"/>
          <w:sz w:val="22"/>
          <w:szCs w:val="22"/>
        </w:rPr>
        <w:t xml:space="preserve"> </w:t>
      </w:r>
      <w:r w:rsidRPr="00C9111A">
        <w:rPr>
          <w:rFonts w:ascii="Garamond" w:hAnsi="Garamond"/>
          <w:i/>
          <w:sz w:val="22"/>
          <w:szCs w:val="22"/>
        </w:rPr>
        <w:t>Revista de Investigación, Universidad de Lima</w:t>
      </w:r>
      <w:r w:rsidRPr="00E8751B">
        <w:rPr>
          <w:rFonts w:ascii="Garamond" w:hAnsi="Garamond"/>
          <w:sz w:val="22"/>
          <w:szCs w:val="22"/>
        </w:rPr>
        <w:t>, 2010.</w:t>
      </w:r>
    </w:p>
  </w:footnote>
  <w:footnote w:id="25">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Fernández de Gatta Sánchez, Dionisio, Documento TOL 1.436.850, España, 2010, pp.</w:t>
      </w:r>
      <w:r>
        <w:rPr>
          <w:rFonts w:ascii="Garamond" w:hAnsi="Garamond"/>
          <w:sz w:val="22"/>
          <w:szCs w:val="22"/>
        </w:rPr>
        <w:t xml:space="preserve"> </w:t>
      </w:r>
      <w:r w:rsidRPr="00E8751B">
        <w:rPr>
          <w:rFonts w:ascii="Garamond" w:hAnsi="Garamond"/>
          <w:sz w:val="22"/>
          <w:szCs w:val="22"/>
        </w:rPr>
        <w:t>1-58.</w:t>
      </w:r>
      <w:r>
        <w:rPr>
          <w:rFonts w:ascii="Garamond" w:hAnsi="Garamond"/>
          <w:sz w:val="22"/>
          <w:szCs w:val="22"/>
        </w:rPr>
        <w:t xml:space="preserve"> R</w:t>
      </w:r>
      <w:r w:rsidRPr="00E8751B">
        <w:rPr>
          <w:rFonts w:ascii="Garamond" w:hAnsi="Garamond"/>
          <w:sz w:val="22"/>
          <w:szCs w:val="22"/>
        </w:rPr>
        <w:t>efiere los criterios jurídicos en la Unión Europea para aplicar las herramientas de gestión (auditoría ambiental) y construir nego</w:t>
      </w:r>
      <w:r>
        <w:rPr>
          <w:rFonts w:ascii="Garamond" w:hAnsi="Garamond"/>
          <w:sz w:val="22"/>
          <w:szCs w:val="22"/>
        </w:rPr>
        <w:t>cios amigables con el ambiente.</w:t>
      </w:r>
    </w:p>
  </w:footnote>
  <w:footnote w:id="26">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sidRPr="00E8751B">
        <w:rPr>
          <w:rFonts w:ascii="Garamond" w:hAnsi="Garamond"/>
          <w:sz w:val="22"/>
          <w:szCs w:val="22"/>
        </w:rPr>
        <w:t xml:space="preserve">Antúnez Sánchez, Alcides Francisco, </w:t>
      </w:r>
      <w:r w:rsidRPr="00E8751B">
        <w:rPr>
          <w:rFonts w:ascii="Garamond" w:hAnsi="Garamond"/>
          <w:i/>
          <w:sz w:val="22"/>
          <w:szCs w:val="22"/>
        </w:rPr>
        <w:t>Disquisiciones teóricas, doctrinales y exegéticas sobre la praxis de la auditoría como función pública, dirigida a la protección del bien público ambiental para la empresa ecológica</w:t>
      </w:r>
      <w:r w:rsidRPr="00E8751B">
        <w:rPr>
          <w:rFonts w:ascii="Garamond" w:hAnsi="Garamond"/>
          <w:sz w:val="22"/>
          <w:szCs w:val="22"/>
        </w:rPr>
        <w:t xml:space="preserve">, </w:t>
      </w:r>
      <w:r w:rsidRPr="00C9111A">
        <w:rPr>
          <w:rFonts w:ascii="Garamond" w:hAnsi="Garamond"/>
          <w:i/>
          <w:sz w:val="22"/>
          <w:szCs w:val="22"/>
        </w:rPr>
        <w:t>Revista Dos Tribunais</w:t>
      </w:r>
      <w:r>
        <w:rPr>
          <w:rFonts w:ascii="Garamond" w:hAnsi="Garamond"/>
          <w:i/>
          <w:sz w:val="22"/>
          <w:szCs w:val="22"/>
        </w:rPr>
        <w:t>,</w:t>
      </w:r>
      <w:r w:rsidRPr="00C9111A">
        <w:rPr>
          <w:rFonts w:ascii="Garamond" w:hAnsi="Garamond"/>
          <w:i/>
          <w:sz w:val="22"/>
          <w:szCs w:val="22"/>
        </w:rPr>
        <w:t xml:space="preserve"> </w:t>
      </w:r>
      <w:r w:rsidRPr="00DF7DA1">
        <w:rPr>
          <w:rFonts w:ascii="Garamond" w:hAnsi="Garamond"/>
          <w:sz w:val="22"/>
          <w:szCs w:val="22"/>
        </w:rPr>
        <w:t>Thomson</w:t>
      </w:r>
      <w:r>
        <w:rPr>
          <w:rFonts w:ascii="Garamond" w:hAnsi="Garamond"/>
          <w:sz w:val="22"/>
          <w:szCs w:val="22"/>
        </w:rPr>
        <w:t xml:space="preserve"> R</w:t>
      </w:r>
      <w:r w:rsidRPr="00DF7DA1">
        <w:rPr>
          <w:rFonts w:ascii="Garamond" w:hAnsi="Garamond"/>
          <w:sz w:val="22"/>
          <w:szCs w:val="22"/>
        </w:rPr>
        <w:t>euters</w:t>
      </w:r>
      <w:r>
        <w:rPr>
          <w:rFonts w:ascii="Garamond" w:hAnsi="Garamond"/>
          <w:sz w:val="22"/>
          <w:szCs w:val="22"/>
        </w:rPr>
        <w:t>, núm.</w:t>
      </w:r>
      <w:r w:rsidRPr="00E8751B">
        <w:rPr>
          <w:rFonts w:ascii="Garamond" w:hAnsi="Garamond"/>
          <w:sz w:val="22"/>
          <w:szCs w:val="22"/>
        </w:rPr>
        <w:t xml:space="preserve"> 951, Brasil, 2015, </w:t>
      </w:r>
      <w:r>
        <w:rPr>
          <w:rFonts w:ascii="Garamond" w:hAnsi="Garamond"/>
          <w:sz w:val="22"/>
          <w:szCs w:val="22"/>
        </w:rPr>
        <w:t xml:space="preserve">disponible también en  </w:t>
      </w:r>
      <w:r w:rsidRPr="004168AD">
        <w:rPr>
          <w:rFonts w:ascii="Garamond" w:hAnsi="Garamond"/>
          <w:sz w:val="22"/>
          <w:szCs w:val="22"/>
          <w:u w:val="single"/>
        </w:rPr>
        <w:t>hptt//www.thomsonreuters.com.</w:t>
      </w:r>
    </w:p>
  </w:footnote>
  <w:footnote w:id="27">
    <w:p w:rsidR="002204E0" w:rsidRPr="00E8751B" w:rsidRDefault="002204E0" w:rsidP="002204E0">
      <w:pPr>
        <w:pStyle w:val="Textonotapie"/>
        <w:ind w:left="-142"/>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Martín Mateo, </w:t>
      </w:r>
      <w:r w:rsidRPr="00E8751B">
        <w:rPr>
          <w:rFonts w:ascii="Garamond" w:hAnsi="Garamond"/>
          <w:i/>
          <w:sz w:val="22"/>
          <w:szCs w:val="22"/>
        </w:rPr>
        <w:t>op. cit</w:t>
      </w:r>
      <w:r>
        <w:rPr>
          <w:rFonts w:ascii="Garamond" w:hAnsi="Garamond"/>
          <w:i/>
          <w:sz w:val="22"/>
          <w:szCs w:val="22"/>
        </w:rPr>
        <w:t>.</w:t>
      </w:r>
      <w:r w:rsidRPr="00E8751B">
        <w:rPr>
          <w:rFonts w:ascii="Garamond" w:hAnsi="Garamond"/>
          <w:i/>
          <w:sz w:val="22"/>
          <w:szCs w:val="22"/>
        </w:rPr>
        <w:t xml:space="preserve">, </w:t>
      </w:r>
      <w:r w:rsidRPr="00E8751B">
        <w:rPr>
          <w:rFonts w:ascii="Garamond" w:hAnsi="Garamond"/>
          <w:sz w:val="22"/>
          <w:szCs w:val="22"/>
        </w:rPr>
        <w:t>pp.</w:t>
      </w:r>
      <w:r>
        <w:rPr>
          <w:rFonts w:ascii="Garamond" w:hAnsi="Garamond"/>
          <w:sz w:val="22"/>
          <w:szCs w:val="22"/>
        </w:rPr>
        <w:t xml:space="preserve"> </w:t>
      </w:r>
      <w:r w:rsidRPr="00E8751B">
        <w:rPr>
          <w:rFonts w:ascii="Garamond" w:hAnsi="Garamond"/>
          <w:sz w:val="22"/>
          <w:szCs w:val="22"/>
        </w:rPr>
        <w:t>19-29.</w:t>
      </w:r>
    </w:p>
  </w:footnote>
  <w:footnote w:id="28">
    <w:p w:rsidR="002204E0" w:rsidRPr="00E8751B" w:rsidRDefault="002204E0" w:rsidP="002204E0">
      <w:pPr>
        <w:pStyle w:val="Textonotapie"/>
        <w:ind w:left="-142"/>
        <w:rPr>
          <w:rFonts w:ascii="Garamond" w:hAnsi="Garamond"/>
          <w:i/>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Lorenzetti, </w:t>
      </w:r>
      <w:r w:rsidRPr="00E8751B">
        <w:rPr>
          <w:rFonts w:ascii="Garamond" w:hAnsi="Garamond"/>
          <w:i/>
          <w:sz w:val="22"/>
          <w:szCs w:val="22"/>
        </w:rPr>
        <w:t>op. cit</w:t>
      </w:r>
      <w:r>
        <w:rPr>
          <w:rFonts w:ascii="Garamond" w:hAnsi="Garamond"/>
          <w:i/>
          <w:sz w:val="22"/>
          <w:szCs w:val="22"/>
        </w:rPr>
        <w:t>.</w:t>
      </w:r>
      <w:r w:rsidRPr="00E8751B">
        <w:rPr>
          <w:rFonts w:ascii="Garamond" w:hAnsi="Garamond"/>
          <w:i/>
          <w:sz w:val="22"/>
          <w:szCs w:val="22"/>
        </w:rPr>
        <w:t xml:space="preserve">, </w:t>
      </w:r>
      <w:r w:rsidRPr="00E8751B">
        <w:rPr>
          <w:rFonts w:ascii="Garamond" w:hAnsi="Garamond"/>
          <w:sz w:val="22"/>
          <w:szCs w:val="22"/>
        </w:rPr>
        <w:t>p.</w:t>
      </w:r>
      <w:r>
        <w:rPr>
          <w:rFonts w:ascii="Garamond" w:hAnsi="Garamond"/>
          <w:sz w:val="22"/>
          <w:szCs w:val="22"/>
        </w:rPr>
        <w:t xml:space="preserve"> </w:t>
      </w:r>
      <w:r w:rsidRPr="00E8751B">
        <w:rPr>
          <w:rFonts w:ascii="Garamond" w:hAnsi="Garamond"/>
          <w:sz w:val="22"/>
          <w:szCs w:val="22"/>
        </w:rPr>
        <w:t xml:space="preserve">29 y ss. </w:t>
      </w:r>
    </w:p>
  </w:footnote>
  <w:footnote w:id="29">
    <w:p w:rsidR="002204E0" w:rsidRPr="00E8751B" w:rsidRDefault="002204E0" w:rsidP="002204E0">
      <w:pPr>
        <w:pStyle w:val="Textonotapie"/>
        <w:ind w:left="-142"/>
        <w:rPr>
          <w:rFonts w:ascii="Garamond" w:hAnsi="Garamond"/>
          <w:i/>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Lozano Cutanda, </w:t>
      </w:r>
      <w:r w:rsidRPr="00E8751B">
        <w:rPr>
          <w:rFonts w:ascii="Garamond" w:hAnsi="Garamond"/>
          <w:i/>
          <w:sz w:val="22"/>
          <w:szCs w:val="22"/>
        </w:rPr>
        <w:t>op</w:t>
      </w:r>
      <w:r>
        <w:rPr>
          <w:rFonts w:ascii="Garamond" w:hAnsi="Garamond"/>
          <w:i/>
          <w:sz w:val="22"/>
          <w:szCs w:val="22"/>
        </w:rPr>
        <w:t>.</w:t>
      </w:r>
      <w:r w:rsidRPr="00E8751B">
        <w:rPr>
          <w:rFonts w:ascii="Garamond" w:hAnsi="Garamond"/>
          <w:i/>
          <w:sz w:val="22"/>
          <w:szCs w:val="22"/>
        </w:rPr>
        <w:t xml:space="preserve"> cit</w:t>
      </w:r>
      <w:r>
        <w:rPr>
          <w:rFonts w:ascii="Garamond" w:hAnsi="Garamond"/>
          <w:i/>
          <w:sz w:val="22"/>
          <w:szCs w:val="22"/>
        </w:rPr>
        <w:t>.</w:t>
      </w:r>
      <w:r w:rsidRPr="00E8751B">
        <w:rPr>
          <w:rFonts w:ascii="Garamond" w:hAnsi="Garamond"/>
          <w:i/>
          <w:sz w:val="22"/>
          <w:szCs w:val="22"/>
        </w:rPr>
        <w:t xml:space="preserve">, </w:t>
      </w:r>
      <w:r w:rsidRPr="00E8751B">
        <w:rPr>
          <w:rFonts w:ascii="Garamond" w:hAnsi="Garamond"/>
          <w:sz w:val="22"/>
          <w:szCs w:val="22"/>
        </w:rPr>
        <w:t>pp.</w:t>
      </w:r>
      <w:r>
        <w:rPr>
          <w:rFonts w:ascii="Garamond" w:hAnsi="Garamond"/>
          <w:sz w:val="22"/>
          <w:szCs w:val="22"/>
        </w:rPr>
        <w:t xml:space="preserve"> </w:t>
      </w:r>
      <w:r w:rsidRPr="00E8751B">
        <w:rPr>
          <w:rFonts w:ascii="Garamond" w:hAnsi="Garamond"/>
          <w:sz w:val="22"/>
          <w:szCs w:val="22"/>
        </w:rPr>
        <w:t xml:space="preserve">1-20. </w:t>
      </w:r>
    </w:p>
  </w:footnote>
  <w:footnote w:id="30">
    <w:p w:rsidR="002204E0" w:rsidRPr="00E8751B" w:rsidRDefault="002204E0" w:rsidP="002204E0">
      <w:pPr>
        <w:pStyle w:val="Textonotapie"/>
        <w:ind w:left="-142" w:right="-142"/>
        <w:jc w:val="both"/>
        <w:rPr>
          <w:rFonts w:ascii="Garamond" w:hAnsi="Garamond"/>
          <w:sz w:val="22"/>
          <w:szCs w:val="22"/>
          <w:lang w:val="es-ES"/>
        </w:rPr>
      </w:pPr>
      <w:r w:rsidRPr="00E8751B">
        <w:rPr>
          <w:rStyle w:val="Refdenotaalpie"/>
          <w:rFonts w:ascii="Garamond" w:hAnsi="Garamond"/>
          <w:sz w:val="22"/>
          <w:szCs w:val="22"/>
        </w:rPr>
        <w:footnoteRef/>
      </w:r>
      <w:r>
        <w:rPr>
          <w:rFonts w:ascii="Garamond" w:hAnsi="Garamond"/>
          <w:sz w:val="22"/>
          <w:szCs w:val="22"/>
        </w:rPr>
        <w:t xml:space="preserve"> </w:t>
      </w:r>
      <w:r w:rsidRPr="00E8751B">
        <w:rPr>
          <w:rFonts w:ascii="Garamond" w:hAnsi="Garamond"/>
          <w:sz w:val="22"/>
          <w:szCs w:val="22"/>
        </w:rPr>
        <w:t xml:space="preserve">Naess, Arne, </w:t>
      </w:r>
      <w:r>
        <w:rPr>
          <w:rFonts w:ascii="Garamond" w:hAnsi="Garamond"/>
          <w:sz w:val="22"/>
          <w:szCs w:val="22"/>
        </w:rPr>
        <w:t>“</w:t>
      </w:r>
      <w:r w:rsidRPr="0017785D">
        <w:rPr>
          <w:rFonts w:ascii="Garamond" w:hAnsi="Garamond"/>
          <w:sz w:val="22"/>
          <w:szCs w:val="22"/>
        </w:rPr>
        <w:t>Los movimientos de la ecología superficial y la ecología profunda</w:t>
      </w:r>
      <w:r>
        <w:rPr>
          <w:rFonts w:ascii="Garamond" w:hAnsi="Garamond"/>
          <w:sz w:val="22"/>
          <w:szCs w:val="22"/>
        </w:rPr>
        <w:t>”</w:t>
      </w:r>
      <w:r w:rsidRPr="00E8751B">
        <w:rPr>
          <w:rFonts w:ascii="Garamond" w:hAnsi="Garamond"/>
          <w:sz w:val="22"/>
          <w:szCs w:val="22"/>
        </w:rPr>
        <w:t xml:space="preserve">, </w:t>
      </w:r>
      <w:r w:rsidRPr="0017785D">
        <w:rPr>
          <w:rFonts w:ascii="Garamond" w:hAnsi="Garamond"/>
          <w:i/>
          <w:sz w:val="22"/>
          <w:szCs w:val="22"/>
        </w:rPr>
        <w:t>Revista Ambiente y Desarrollo</w:t>
      </w:r>
      <w:r w:rsidRPr="00E8751B">
        <w:rPr>
          <w:rFonts w:ascii="Garamond" w:hAnsi="Garamond"/>
          <w:sz w:val="22"/>
          <w:szCs w:val="22"/>
        </w:rPr>
        <w:t>, Chile, 2007.</w:t>
      </w:r>
    </w:p>
  </w:footnote>
  <w:footnote w:id="31">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Antúnez Sánchez, Alcides Francisco, </w:t>
      </w:r>
      <w:r>
        <w:rPr>
          <w:rFonts w:ascii="Garamond" w:hAnsi="Garamond"/>
          <w:sz w:val="22"/>
          <w:szCs w:val="22"/>
        </w:rPr>
        <w:t>“</w:t>
      </w:r>
      <w:r w:rsidRPr="0017785D">
        <w:rPr>
          <w:rFonts w:ascii="Garamond" w:hAnsi="Garamond"/>
          <w:sz w:val="22"/>
          <w:szCs w:val="22"/>
        </w:rPr>
        <w:t>La auditoría ambiental, principios del derecho ambiental que la informan</w:t>
      </w:r>
      <w:r>
        <w:rPr>
          <w:rFonts w:ascii="Garamond" w:hAnsi="Garamond"/>
          <w:sz w:val="22"/>
          <w:szCs w:val="22"/>
        </w:rPr>
        <w:t>”</w:t>
      </w:r>
      <w:r w:rsidRPr="00E96F3F">
        <w:rPr>
          <w:rFonts w:ascii="Garamond" w:hAnsi="Garamond"/>
          <w:sz w:val="22"/>
          <w:szCs w:val="22"/>
        </w:rPr>
        <w:t xml:space="preserve">, </w:t>
      </w:r>
      <w:r w:rsidRPr="0017785D">
        <w:rPr>
          <w:rFonts w:ascii="Garamond" w:hAnsi="Garamond"/>
          <w:i/>
          <w:sz w:val="22"/>
          <w:szCs w:val="22"/>
        </w:rPr>
        <w:t>Revista del Tribunal de Cuentas</w:t>
      </w:r>
      <w:r>
        <w:rPr>
          <w:rFonts w:ascii="Garamond" w:hAnsi="Garamond"/>
          <w:sz w:val="22"/>
          <w:szCs w:val="22"/>
        </w:rPr>
        <w:t>, núm.</w:t>
      </w:r>
      <w:r w:rsidRPr="00E96F3F">
        <w:rPr>
          <w:rFonts w:ascii="Garamond" w:hAnsi="Garamond"/>
          <w:sz w:val="22"/>
          <w:szCs w:val="22"/>
        </w:rPr>
        <w:t xml:space="preserve"> 132, Brasil, 2015.</w:t>
      </w:r>
    </w:p>
  </w:footnote>
  <w:footnote w:id="32">
    <w:p w:rsidR="002204E0" w:rsidRPr="00E96F3F" w:rsidRDefault="002204E0" w:rsidP="002204E0">
      <w:pPr>
        <w:pStyle w:val="Textonotapie"/>
        <w:ind w:lef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Caferrata, Néstor Alfredo, </w:t>
      </w:r>
      <w:r w:rsidRPr="00E96F3F">
        <w:rPr>
          <w:rFonts w:ascii="Garamond" w:hAnsi="Garamond"/>
          <w:i/>
          <w:sz w:val="22"/>
          <w:szCs w:val="22"/>
        </w:rPr>
        <w:t>Principios del derecho ambiental,</w:t>
      </w:r>
      <w:r w:rsidRPr="00E96F3F">
        <w:rPr>
          <w:rFonts w:ascii="Garamond" w:hAnsi="Garamond"/>
          <w:sz w:val="22"/>
          <w:szCs w:val="22"/>
        </w:rPr>
        <w:t xml:space="preserve"> </w:t>
      </w:r>
      <w:r>
        <w:rPr>
          <w:rFonts w:ascii="Garamond" w:hAnsi="Garamond"/>
          <w:sz w:val="22"/>
          <w:szCs w:val="22"/>
        </w:rPr>
        <w:t>Perrot, Abeledo</w:t>
      </w:r>
      <w:r w:rsidRPr="00E96F3F">
        <w:rPr>
          <w:rFonts w:ascii="Garamond" w:hAnsi="Garamond"/>
          <w:sz w:val="22"/>
          <w:szCs w:val="22"/>
        </w:rPr>
        <w:t>, Argentina, 2010.</w:t>
      </w:r>
    </w:p>
  </w:footnote>
  <w:footnote w:id="33">
    <w:p w:rsidR="002204E0" w:rsidRPr="00E96F3F" w:rsidRDefault="002204E0" w:rsidP="002204E0">
      <w:pPr>
        <w:pStyle w:val="Textonotapie"/>
        <w:ind w:left="-142"/>
        <w:jc w:val="both"/>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ab/>
      </w:r>
      <w:r>
        <w:rPr>
          <w:rFonts w:ascii="Garamond" w:hAnsi="Garamond"/>
          <w:sz w:val="22"/>
          <w:szCs w:val="22"/>
        </w:rPr>
        <w:t xml:space="preserve"> </w:t>
      </w:r>
      <w:r w:rsidRPr="00E96F3F">
        <w:rPr>
          <w:rFonts w:ascii="Garamond" w:hAnsi="Garamond"/>
          <w:sz w:val="22"/>
          <w:szCs w:val="22"/>
        </w:rPr>
        <w:t xml:space="preserve">Lorenzetti, Ricardo, </w:t>
      </w:r>
      <w:r w:rsidRPr="00E96F3F">
        <w:rPr>
          <w:rFonts w:ascii="Garamond" w:hAnsi="Garamond"/>
          <w:i/>
          <w:sz w:val="22"/>
          <w:szCs w:val="22"/>
        </w:rPr>
        <w:t>Teoría del derecho ambiental</w:t>
      </w:r>
      <w:r w:rsidRPr="00E96F3F">
        <w:rPr>
          <w:rFonts w:ascii="Garamond" w:hAnsi="Garamond"/>
          <w:sz w:val="22"/>
          <w:szCs w:val="22"/>
        </w:rPr>
        <w:t xml:space="preserve">, </w:t>
      </w:r>
      <w:r>
        <w:rPr>
          <w:rFonts w:ascii="Garamond" w:hAnsi="Garamond"/>
          <w:sz w:val="22"/>
          <w:szCs w:val="22"/>
        </w:rPr>
        <w:t xml:space="preserve">México, </w:t>
      </w:r>
      <w:r w:rsidRPr="00E96F3F">
        <w:rPr>
          <w:rFonts w:ascii="Garamond" w:hAnsi="Garamond"/>
          <w:sz w:val="22"/>
          <w:szCs w:val="22"/>
        </w:rPr>
        <w:t>Porrúa, 2008.</w:t>
      </w:r>
    </w:p>
  </w:footnote>
  <w:footnote w:id="34">
    <w:p w:rsidR="002204E0" w:rsidRPr="00E96F3F" w:rsidRDefault="002204E0" w:rsidP="002204E0">
      <w:pPr>
        <w:pStyle w:val="Textonotapie"/>
        <w:ind w:left="-142"/>
        <w:jc w:val="both"/>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ab/>
      </w:r>
      <w:r>
        <w:rPr>
          <w:rFonts w:ascii="Garamond" w:hAnsi="Garamond"/>
          <w:sz w:val="22"/>
          <w:szCs w:val="22"/>
        </w:rPr>
        <w:t xml:space="preserve"> </w:t>
      </w:r>
      <w:r w:rsidRPr="00E96F3F">
        <w:rPr>
          <w:rFonts w:ascii="Garamond" w:hAnsi="Garamond"/>
          <w:sz w:val="22"/>
          <w:szCs w:val="22"/>
        </w:rPr>
        <w:t xml:space="preserve">Bellotti, María, </w:t>
      </w:r>
      <w:r w:rsidRPr="00E96F3F">
        <w:rPr>
          <w:rFonts w:ascii="Garamond" w:hAnsi="Garamond"/>
          <w:i/>
          <w:sz w:val="22"/>
          <w:szCs w:val="22"/>
        </w:rPr>
        <w:t>El principio de precaución ambiental</w:t>
      </w:r>
      <w:r w:rsidRPr="00E96F3F">
        <w:rPr>
          <w:rFonts w:ascii="Garamond" w:hAnsi="Garamond"/>
          <w:sz w:val="22"/>
          <w:szCs w:val="22"/>
        </w:rPr>
        <w:t xml:space="preserve">, Argentina, </w:t>
      </w:r>
      <w:r>
        <w:rPr>
          <w:rFonts w:ascii="Garamond" w:hAnsi="Garamond"/>
          <w:sz w:val="22"/>
          <w:szCs w:val="22"/>
        </w:rPr>
        <w:t>Editorial Lerner SR</w:t>
      </w:r>
      <w:r w:rsidRPr="00E96F3F">
        <w:rPr>
          <w:rFonts w:ascii="Garamond" w:hAnsi="Garamond"/>
          <w:sz w:val="22"/>
          <w:szCs w:val="22"/>
        </w:rPr>
        <w:t>L., 2006.</w:t>
      </w:r>
    </w:p>
  </w:footnote>
  <w:footnote w:id="35">
    <w:p w:rsidR="002204E0" w:rsidRPr="00E96F3F" w:rsidRDefault="002204E0" w:rsidP="002204E0">
      <w:pPr>
        <w:pStyle w:val="Textonotapie"/>
        <w:ind w:left="-142"/>
        <w:jc w:val="both"/>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ab/>
      </w:r>
      <w:r>
        <w:rPr>
          <w:rFonts w:ascii="Garamond" w:hAnsi="Garamond"/>
          <w:sz w:val="22"/>
          <w:szCs w:val="22"/>
        </w:rPr>
        <w:t xml:space="preserve"> </w:t>
      </w:r>
      <w:r w:rsidRPr="00E96F3F">
        <w:rPr>
          <w:rFonts w:ascii="Garamond" w:hAnsi="Garamond"/>
          <w:sz w:val="22"/>
          <w:szCs w:val="22"/>
        </w:rPr>
        <w:t xml:space="preserve">Martín Mateo, Ramón, </w:t>
      </w:r>
      <w:r w:rsidRPr="00E96F3F">
        <w:rPr>
          <w:rFonts w:ascii="Garamond" w:hAnsi="Garamond"/>
          <w:i/>
          <w:sz w:val="22"/>
          <w:szCs w:val="22"/>
        </w:rPr>
        <w:t>Tratado de derecho ambiental</w:t>
      </w:r>
      <w:r w:rsidRPr="00E96F3F">
        <w:rPr>
          <w:rFonts w:ascii="Garamond" w:hAnsi="Garamond"/>
          <w:sz w:val="22"/>
          <w:szCs w:val="22"/>
        </w:rPr>
        <w:t>,</w:t>
      </w:r>
      <w:r>
        <w:rPr>
          <w:rFonts w:ascii="Garamond" w:hAnsi="Garamond"/>
          <w:sz w:val="22"/>
          <w:szCs w:val="22"/>
        </w:rPr>
        <w:t xml:space="preserve"> </w:t>
      </w:r>
      <w:r w:rsidRPr="00E96F3F">
        <w:rPr>
          <w:rFonts w:ascii="Garamond" w:hAnsi="Garamond"/>
          <w:sz w:val="22"/>
          <w:szCs w:val="22"/>
        </w:rPr>
        <w:t>España, Trivium</w:t>
      </w:r>
      <w:r>
        <w:rPr>
          <w:rFonts w:ascii="Garamond" w:hAnsi="Garamond"/>
          <w:sz w:val="22"/>
          <w:szCs w:val="22"/>
        </w:rPr>
        <w:t>, 1991, v. I.</w:t>
      </w:r>
    </w:p>
  </w:footnote>
  <w:footnote w:id="36">
    <w:p w:rsidR="002204E0" w:rsidRPr="00E96F3F" w:rsidRDefault="002204E0" w:rsidP="002204E0">
      <w:pPr>
        <w:pStyle w:val="Textonotapie"/>
        <w:ind w:left="-142"/>
        <w:jc w:val="both"/>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ab/>
      </w:r>
      <w:r>
        <w:rPr>
          <w:rFonts w:ascii="Garamond" w:hAnsi="Garamond"/>
          <w:sz w:val="22"/>
          <w:szCs w:val="22"/>
        </w:rPr>
        <w:t xml:space="preserve"> </w:t>
      </w:r>
      <w:r w:rsidRPr="00E96F3F">
        <w:rPr>
          <w:rFonts w:ascii="Garamond" w:hAnsi="Garamond"/>
          <w:sz w:val="22"/>
          <w:szCs w:val="22"/>
        </w:rPr>
        <w:t xml:space="preserve">Lozano Cutanda, Blanca, </w:t>
      </w:r>
      <w:r w:rsidRPr="00E96F3F">
        <w:rPr>
          <w:rFonts w:ascii="Garamond" w:hAnsi="Garamond"/>
          <w:i/>
          <w:sz w:val="22"/>
          <w:szCs w:val="22"/>
        </w:rPr>
        <w:t>Tratado de derecho ambiental</w:t>
      </w:r>
      <w:r w:rsidRPr="00E96F3F">
        <w:rPr>
          <w:rFonts w:ascii="Garamond" w:hAnsi="Garamond"/>
          <w:sz w:val="22"/>
          <w:szCs w:val="22"/>
        </w:rPr>
        <w:t xml:space="preserve">, </w:t>
      </w:r>
      <w:r>
        <w:rPr>
          <w:rFonts w:ascii="Garamond" w:hAnsi="Garamond"/>
          <w:sz w:val="22"/>
          <w:szCs w:val="22"/>
        </w:rPr>
        <w:t xml:space="preserve">España, </w:t>
      </w:r>
      <w:r w:rsidRPr="00E96F3F">
        <w:rPr>
          <w:rFonts w:ascii="Garamond" w:hAnsi="Garamond"/>
          <w:sz w:val="22"/>
          <w:szCs w:val="22"/>
        </w:rPr>
        <w:t>CEF, 2015.</w:t>
      </w:r>
    </w:p>
  </w:footnote>
  <w:footnote w:id="37">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Fernández de Gatta Sánchez, Dionisio, </w:t>
      </w:r>
      <w:r w:rsidRPr="00E96F3F">
        <w:rPr>
          <w:rFonts w:ascii="Garamond" w:hAnsi="Garamond"/>
          <w:i/>
          <w:sz w:val="22"/>
          <w:szCs w:val="22"/>
        </w:rPr>
        <w:t xml:space="preserve">La </w:t>
      </w:r>
      <w:r w:rsidRPr="00187D22">
        <w:rPr>
          <w:rFonts w:ascii="Garamond" w:hAnsi="Garamond"/>
          <w:i/>
          <w:sz w:val="22"/>
          <w:szCs w:val="22"/>
        </w:rPr>
        <w:t>responsabilidad social corporativa en materia ambiental</w:t>
      </w:r>
      <w:r>
        <w:rPr>
          <w:rFonts w:ascii="Garamond" w:hAnsi="Garamond"/>
          <w:sz w:val="22"/>
          <w:szCs w:val="22"/>
        </w:rPr>
        <w:t>, Boletín económico, núm.</w:t>
      </w:r>
      <w:r w:rsidRPr="00E96F3F">
        <w:rPr>
          <w:rFonts w:ascii="Garamond" w:hAnsi="Garamond"/>
          <w:sz w:val="22"/>
          <w:szCs w:val="22"/>
        </w:rPr>
        <w:t xml:space="preserve"> 2824, España, 2011.</w:t>
      </w:r>
    </w:p>
  </w:footnote>
  <w:footnote w:id="38">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ab/>
      </w:r>
      <w:r>
        <w:rPr>
          <w:rFonts w:ascii="Garamond" w:hAnsi="Garamond"/>
          <w:sz w:val="22"/>
          <w:szCs w:val="22"/>
        </w:rPr>
        <w:t xml:space="preserve"> </w:t>
      </w:r>
      <w:r w:rsidRPr="00E96F3F">
        <w:rPr>
          <w:rFonts w:ascii="Garamond" w:hAnsi="Garamond"/>
          <w:sz w:val="22"/>
          <w:szCs w:val="22"/>
        </w:rPr>
        <w:t xml:space="preserve">Sanz Larruga, Francisco, </w:t>
      </w:r>
      <w:r w:rsidRPr="00E96F3F">
        <w:rPr>
          <w:rFonts w:ascii="Garamond" w:hAnsi="Garamond"/>
          <w:i/>
          <w:sz w:val="22"/>
          <w:szCs w:val="22"/>
        </w:rPr>
        <w:t>El concepto de responsabilidad compartida y el pri</w:t>
      </w:r>
      <w:r>
        <w:rPr>
          <w:rFonts w:ascii="Garamond" w:hAnsi="Garamond"/>
          <w:i/>
          <w:sz w:val="22"/>
          <w:szCs w:val="22"/>
        </w:rPr>
        <w:t>ncipio de subsidiariedad en el derecho a</w:t>
      </w:r>
      <w:r w:rsidRPr="00E96F3F">
        <w:rPr>
          <w:rFonts w:ascii="Garamond" w:hAnsi="Garamond"/>
          <w:i/>
          <w:sz w:val="22"/>
          <w:szCs w:val="22"/>
        </w:rPr>
        <w:t>mbiental</w:t>
      </w:r>
      <w:r w:rsidRPr="00E96F3F">
        <w:rPr>
          <w:rFonts w:ascii="Garamond" w:hAnsi="Garamond"/>
          <w:sz w:val="22"/>
          <w:szCs w:val="22"/>
        </w:rPr>
        <w:t xml:space="preserve">, </w:t>
      </w:r>
      <w:r>
        <w:rPr>
          <w:rFonts w:ascii="Garamond" w:hAnsi="Garamond"/>
          <w:sz w:val="22"/>
          <w:szCs w:val="22"/>
        </w:rPr>
        <w:t xml:space="preserve">España, </w:t>
      </w:r>
      <w:r w:rsidRPr="00E96F3F">
        <w:rPr>
          <w:rFonts w:ascii="Garamond" w:hAnsi="Garamond"/>
          <w:sz w:val="22"/>
          <w:szCs w:val="22"/>
        </w:rPr>
        <w:t>Instituto de Estudios de la Administración Local, 2009.</w:t>
      </w:r>
    </w:p>
  </w:footnote>
  <w:footnote w:id="39">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Botassi, Carlos, </w:t>
      </w:r>
      <w:r w:rsidRPr="00E96F3F">
        <w:rPr>
          <w:rFonts w:ascii="Garamond" w:hAnsi="Garamond"/>
          <w:i/>
          <w:sz w:val="22"/>
          <w:szCs w:val="22"/>
        </w:rPr>
        <w:t>Derecho administrativo ambiental</w:t>
      </w:r>
      <w:r w:rsidRPr="00E96F3F">
        <w:rPr>
          <w:rFonts w:ascii="Garamond" w:hAnsi="Garamond"/>
          <w:sz w:val="22"/>
          <w:szCs w:val="22"/>
        </w:rPr>
        <w:t xml:space="preserve">, </w:t>
      </w:r>
      <w:r>
        <w:rPr>
          <w:rFonts w:ascii="Garamond" w:hAnsi="Garamond"/>
          <w:sz w:val="22"/>
          <w:szCs w:val="22"/>
        </w:rPr>
        <w:t xml:space="preserve">Argentina, Platense, </w:t>
      </w:r>
      <w:r w:rsidRPr="00E96F3F">
        <w:rPr>
          <w:rFonts w:ascii="Garamond" w:hAnsi="Garamond"/>
          <w:sz w:val="22"/>
          <w:szCs w:val="22"/>
        </w:rPr>
        <w:t>1997.</w:t>
      </w:r>
    </w:p>
  </w:footnote>
  <w:footnote w:id="40">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Besa Antunes, Paulo de, </w:t>
      </w:r>
      <w:r>
        <w:rPr>
          <w:rFonts w:ascii="Garamond" w:hAnsi="Garamond"/>
          <w:i/>
          <w:sz w:val="22"/>
          <w:szCs w:val="22"/>
        </w:rPr>
        <w:t>Direito a</w:t>
      </w:r>
      <w:r w:rsidRPr="00E96F3F">
        <w:rPr>
          <w:rFonts w:ascii="Garamond" w:hAnsi="Garamond"/>
          <w:i/>
          <w:sz w:val="22"/>
          <w:szCs w:val="22"/>
        </w:rPr>
        <w:t>mbiental</w:t>
      </w:r>
      <w:r w:rsidRPr="00E96F3F">
        <w:rPr>
          <w:rFonts w:ascii="Garamond" w:hAnsi="Garamond"/>
          <w:sz w:val="22"/>
          <w:szCs w:val="22"/>
        </w:rPr>
        <w:t>, Brasil, Lumen Juris, 2010.</w:t>
      </w:r>
    </w:p>
  </w:footnote>
  <w:footnote w:id="41">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Caraballo Maqueira, Leonel, </w:t>
      </w:r>
      <w:r w:rsidRPr="006440BC">
        <w:rPr>
          <w:rFonts w:ascii="Garamond" w:hAnsi="Garamond"/>
          <w:i/>
          <w:sz w:val="22"/>
          <w:szCs w:val="22"/>
        </w:rPr>
        <w:t>El pensamiento ambiental</w:t>
      </w:r>
      <w:r w:rsidRPr="00E96F3F">
        <w:rPr>
          <w:rFonts w:ascii="Garamond" w:hAnsi="Garamond"/>
          <w:sz w:val="22"/>
          <w:szCs w:val="22"/>
        </w:rPr>
        <w:t xml:space="preserve"> </w:t>
      </w:r>
      <w:r w:rsidRPr="00E96F3F">
        <w:rPr>
          <w:rFonts w:ascii="Garamond" w:hAnsi="Garamond"/>
          <w:i/>
          <w:sz w:val="22"/>
          <w:szCs w:val="22"/>
        </w:rPr>
        <w:t>cubano</w:t>
      </w:r>
      <w:r w:rsidRPr="00E96F3F">
        <w:rPr>
          <w:rFonts w:ascii="Garamond" w:hAnsi="Garamond"/>
          <w:sz w:val="22"/>
          <w:szCs w:val="22"/>
        </w:rPr>
        <w:t>, La Habana, Pablo, 2011.</w:t>
      </w:r>
    </w:p>
  </w:footnote>
  <w:footnote w:id="42">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Rey Santos, Orlando, </w:t>
      </w:r>
      <w:r w:rsidRPr="00E96F3F">
        <w:rPr>
          <w:rFonts w:ascii="Garamond" w:hAnsi="Garamond"/>
          <w:i/>
          <w:sz w:val="22"/>
          <w:szCs w:val="22"/>
        </w:rPr>
        <w:t>Fundamentos del derecho ambiental</w:t>
      </w:r>
      <w:r w:rsidRPr="00E96F3F">
        <w:rPr>
          <w:rFonts w:ascii="Garamond" w:hAnsi="Garamond"/>
          <w:sz w:val="22"/>
          <w:szCs w:val="22"/>
        </w:rPr>
        <w:t>, La Habana, CIABO, 2013.</w:t>
      </w:r>
    </w:p>
  </w:footnote>
  <w:footnote w:id="43">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Cánovas González, Daimar, </w:t>
      </w:r>
      <w:r>
        <w:rPr>
          <w:rFonts w:ascii="Garamond" w:hAnsi="Garamond"/>
          <w:sz w:val="22"/>
          <w:szCs w:val="22"/>
        </w:rPr>
        <w:t>“</w:t>
      </w:r>
      <w:r w:rsidRPr="006440BC">
        <w:rPr>
          <w:rFonts w:ascii="Garamond" w:hAnsi="Garamond"/>
          <w:sz w:val="22"/>
          <w:szCs w:val="22"/>
        </w:rPr>
        <w:t>Necesidades y potencialidades del derecho ambiental cubano</w:t>
      </w:r>
      <w:r>
        <w:rPr>
          <w:rFonts w:ascii="Garamond" w:hAnsi="Garamond"/>
          <w:sz w:val="22"/>
          <w:szCs w:val="22"/>
        </w:rPr>
        <w:t>”</w:t>
      </w:r>
      <w:r w:rsidRPr="00E96F3F">
        <w:rPr>
          <w:rFonts w:ascii="Garamond" w:hAnsi="Garamond"/>
          <w:sz w:val="22"/>
          <w:szCs w:val="22"/>
        </w:rPr>
        <w:t xml:space="preserve">, </w:t>
      </w:r>
      <w:r w:rsidRPr="006440BC">
        <w:rPr>
          <w:rFonts w:ascii="Garamond" w:hAnsi="Garamond"/>
          <w:i/>
          <w:sz w:val="22"/>
          <w:szCs w:val="22"/>
        </w:rPr>
        <w:t>Revista Cubana de Derecho Ambiental</w:t>
      </w:r>
      <w:r w:rsidRPr="00E96F3F">
        <w:rPr>
          <w:rFonts w:ascii="Garamond" w:hAnsi="Garamond"/>
          <w:sz w:val="22"/>
          <w:szCs w:val="22"/>
        </w:rPr>
        <w:t>, La Habana, CITMA, 2012.</w:t>
      </w:r>
    </w:p>
  </w:footnote>
  <w:footnote w:id="44">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Antúnez Sánchez, Alcides Francisco, </w:t>
      </w:r>
      <w:r>
        <w:rPr>
          <w:rFonts w:ascii="Garamond" w:hAnsi="Garamond"/>
          <w:sz w:val="22"/>
          <w:szCs w:val="22"/>
        </w:rPr>
        <w:t>“</w:t>
      </w:r>
      <w:r w:rsidRPr="006440BC">
        <w:rPr>
          <w:rFonts w:ascii="Garamond" w:hAnsi="Garamond"/>
          <w:sz w:val="22"/>
          <w:szCs w:val="22"/>
        </w:rPr>
        <w:t>La auditoría ambiental, la industria amigable con el ambiente y el desarrollo sostenible</w:t>
      </w:r>
      <w:r>
        <w:rPr>
          <w:rFonts w:ascii="Garamond" w:hAnsi="Garamond"/>
          <w:sz w:val="22"/>
          <w:szCs w:val="22"/>
        </w:rPr>
        <w:t>”</w:t>
      </w:r>
      <w:r w:rsidRPr="006440BC">
        <w:rPr>
          <w:rFonts w:ascii="Garamond" w:hAnsi="Garamond"/>
          <w:sz w:val="22"/>
          <w:szCs w:val="22"/>
        </w:rPr>
        <w:t>,</w:t>
      </w:r>
      <w:r w:rsidRPr="00E96F3F">
        <w:rPr>
          <w:rFonts w:ascii="Garamond" w:hAnsi="Garamond"/>
          <w:sz w:val="22"/>
          <w:szCs w:val="22"/>
        </w:rPr>
        <w:t xml:space="preserve"> </w:t>
      </w:r>
      <w:r w:rsidRPr="006440BC">
        <w:rPr>
          <w:rFonts w:ascii="Garamond" w:hAnsi="Garamond"/>
          <w:i/>
          <w:sz w:val="22"/>
          <w:szCs w:val="22"/>
        </w:rPr>
        <w:t>Revista de Contabilidad y Finanzas</w:t>
      </w:r>
      <w:r w:rsidRPr="00E96F3F">
        <w:rPr>
          <w:rFonts w:ascii="Garamond" w:hAnsi="Garamond"/>
          <w:sz w:val="22"/>
          <w:szCs w:val="22"/>
        </w:rPr>
        <w:t xml:space="preserve"> </w:t>
      </w:r>
      <w:r w:rsidRPr="006440BC">
        <w:rPr>
          <w:rFonts w:ascii="Garamond" w:hAnsi="Garamond"/>
          <w:i/>
          <w:sz w:val="22"/>
          <w:szCs w:val="22"/>
        </w:rPr>
        <w:t>C</w:t>
      </w:r>
      <w:r>
        <w:rPr>
          <w:rFonts w:ascii="Garamond" w:hAnsi="Garamond"/>
          <w:i/>
          <w:sz w:val="22"/>
          <w:szCs w:val="22"/>
        </w:rPr>
        <w:t>ofí</w:t>
      </w:r>
      <w:r w:rsidRPr="006440BC">
        <w:rPr>
          <w:rFonts w:ascii="Garamond" w:hAnsi="Garamond"/>
          <w:i/>
          <w:sz w:val="22"/>
          <w:szCs w:val="22"/>
        </w:rPr>
        <w:t>n</w:t>
      </w:r>
      <w:r>
        <w:rPr>
          <w:rFonts w:ascii="Garamond" w:hAnsi="Garamond"/>
          <w:i/>
          <w:sz w:val="22"/>
          <w:szCs w:val="22"/>
        </w:rPr>
        <w:t xml:space="preserve"> Habana</w:t>
      </w:r>
      <w:r>
        <w:rPr>
          <w:rFonts w:ascii="Garamond" w:hAnsi="Garamond"/>
          <w:sz w:val="22"/>
          <w:szCs w:val="22"/>
        </w:rPr>
        <w:t>,</w:t>
      </w:r>
      <w:r w:rsidRPr="00E96F3F">
        <w:rPr>
          <w:rFonts w:ascii="Garamond" w:hAnsi="Garamond"/>
          <w:sz w:val="22"/>
          <w:szCs w:val="22"/>
        </w:rPr>
        <w:t xml:space="preserve"> </w:t>
      </w:r>
      <w:r>
        <w:rPr>
          <w:rFonts w:ascii="Garamond" w:hAnsi="Garamond"/>
          <w:sz w:val="22"/>
          <w:szCs w:val="22"/>
        </w:rPr>
        <w:t xml:space="preserve">La Habana, </w:t>
      </w:r>
      <w:r w:rsidRPr="00E96F3F">
        <w:rPr>
          <w:rFonts w:ascii="Garamond" w:hAnsi="Garamond"/>
          <w:sz w:val="22"/>
          <w:szCs w:val="22"/>
        </w:rPr>
        <w:t>Universidad de La Habana, 2015.</w:t>
      </w:r>
    </w:p>
  </w:footnote>
  <w:footnote w:id="45">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Padin, María, </w:t>
      </w:r>
      <w:r>
        <w:rPr>
          <w:rFonts w:ascii="Garamond" w:hAnsi="Garamond"/>
          <w:sz w:val="22"/>
          <w:szCs w:val="22"/>
        </w:rPr>
        <w:t>“</w:t>
      </w:r>
      <w:r w:rsidRPr="002B0522">
        <w:rPr>
          <w:rFonts w:ascii="Garamond" w:hAnsi="Garamond"/>
          <w:sz w:val="22"/>
          <w:szCs w:val="22"/>
        </w:rPr>
        <w:t>La auditoría ambiental y las normas ISO 14000</w:t>
      </w:r>
      <w:r>
        <w:rPr>
          <w:rFonts w:ascii="Garamond" w:hAnsi="Garamond"/>
          <w:sz w:val="22"/>
          <w:szCs w:val="22"/>
        </w:rPr>
        <w:t>”</w:t>
      </w:r>
      <w:r w:rsidRPr="002B0522">
        <w:rPr>
          <w:rFonts w:ascii="Garamond" w:hAnsi="Garamond"/>
          <w:sz w:val="22"/>
          <w:szCs w:val="22"/>
        </w:rPr>
        <w:t>,</w:t>
      </w:r>
      <w:r w:rsidRPr="00E96F3F">
        <w:rPr>
          <w:rFonts w:ascii="Garamond" w:hAnsi="Garamond"/>
          <w:sz w:val="22"/>
          <w:szCs w:val="22"/>
        </w:rPr>
        <w:t xml:space="preserve"> </w:t>
      </w:r>
      <w:r w:rsidRPr="002B0522">
        <w:rPr>
          <w:rFonts w:ascii="Garamond" w:hAnsi="Garamond"/>
          <w:i/>
          <w:sz w:val="22"/>
          <w:szCs w:val="22"/>
        </w:rPr>
        <w:t>Revista Foro de Contabilidad Ambiental y Social</w:t>
      </w:r>
      <w:r>
        <w:rPr>
          <w:rFonts w:ascii="Garamond" w:hAnsi="Garamond"/>
          <w:sz w:val="22"/>
          <w:szCs w:val="22"/>
        </w:rPr>
        <w:t>, núm.</w:t>
      </w:r>
      <w:r w:rsidRPr="00E96F3F">
        <w:rPr>
          <w:rFonts w:ascii="Garamond" w:hAnsi="Garamond"/>
          <w:sz w:val="22"/>
          <w:szCs w:val="22"/>
        </w:rPr>
        <w:t xml:space="preserve"> 5, Argentina, 2011.</w:t>
      </w:r>
    </w:p>
  </w:footnote>
  <w:footnote w:id="46">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Viguri Perea, Alberto, </w:t>
      </w:r>
      <w:r>
        <w:rPr>
          <w:rFonts w:ascii="Garamond" w:hAnsi="Garamond"/>
          <w:sz w:val="22"/>
          <w:szCs w:val="22"/>
        </w:rPr>
        <w:t>“</w:t>
      </w:r>
      <w:r w:rsidRPr="002B0522">
        <w:rPr>
          <w:rFonts w:ascii="Garamond" w:hAnsi="Garamond"/>
          <w:sz w:val="22"/>
          <w:szCs w:val="22"/>
        </w:rPr>
        <w:t>La responsabilidad en materia medio ambiental, la auditoría ambiental y el seguro</w:t>
      </w:r>
      <w:r>
        <w:rPr>
          <w:rFonts w:ascii="Garamond" w:hAnsi="Garamond"/>
          <w:sz w:val="22"/>
          <w:szCs w:val="22"/>
        </w:rPr>
        <w:t>”</w:t>
      </w:r>
      <w:r w:rsidRPr="00E96F3F">
        <w:rPr>
          <w:rFonts w:ascii="Garamond" w:hAnsi="Garamond"/>
          <w:sz w:val="22"/>
          <w:szCs w:val="22"/>
        </w:rPr>
        <w:t xml:space="preserve">, </w:t>
      </w:r>
      <w:r w:rsidRPr="002B0522">
        <w:rPr>
          <w:rFonts w:ascii="Garamond" w:hAnsi="Garamond"/>
          <w:i/>
          <w:sz w:val="22"/>
          <w:szCs w:val="22"/>
        </w:rPr>
        <w:t>Revista Española de Seguros</w:t>
      </w:r>
      <w:r>
        <w:rPr>
          <w:rFonts w:ascii="Garamond" w:hAnsi="Garamond"/>
          <w:sz w:val="22"/>
          <w:szCs w:val="22"/>
        </w:rPr>
        <w:t xml:space="preserve">, núm. </w:t>
      </w:r>
      <w:r w:rsidRPr="00E96F3F">
        <w:rPr>
          <w:rFonts w:ascii="Garamond" w:hAnsi="Garamond"/>
          <w:sz w:val="22"/>
          <w:szCs w:val="22"/>
        </w:rPr>
        <w:t>5, España, 2010.</w:t>
      </w:r>
    </w:p>
  </w:footnote>
  <w:footnote w:id="47">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Cabeza Ares, Alberto, </w:t>
      </w:r>
      <w:r>
        <w:rPr>
          <w:rFonts w:ascii="Garamond" w:hAnsi="Garamond"/>
          <w:sz w:val="22"/>
          <w:szCs w:val="22"/>
        </w:rPr>
        <w:t>“</w:t>
      </w:r>
      <w:r w:rsidRPr="002B0522">
        <w:rPr>
          <w:rFonts w:ascii="Garamond" w:hAnsi="Garamond"/>
          <w:sz w:val="22"/>
          <w:szCs w:val="22"/>
        </w:rPr>
        <w:t>Los seguros de responsabilidad civil medio ambiental en la obligación de reponer y restaurar el medio ambiente alterado</w:t>
      </w:r>
      <w:r>
        <w:rPr>
          <w:rFonts w:ascii="Garamond" w:hAnsi="Garamond"/>
          <w:sz w:val="22"/>
          <w:szCs w:val="22"/>
        </w:rPr>
        <w:t>”</w:t>
      </w:r>
      <w:r w:rsidRPr="00E96F3F">
        <w:rPr>
          <w:rFonts w:ascii="Garamond" w:hAnsi="Garamond"/>
          <w:sz w:val="22"/>
          <w:szCs w:val="22"/>
        </w:rPr>
        <w:t xml:space="preserve">, </w:t>
      </w:r>
      <w:r>
        <w:rPr>
          <w:rFonts w:ascii="Garamond" w:hAnsi="Garamond"/>
          <w:sz w:val="22"/>
          <w:szCs w:val="22"/>
        </w:rPr>
        <w:t xml:space="preserve">España, </w:t>
      </w:r>
      <w:r w:rsidRPr="00E96F3F">
        <w:rPr>
          <w:rFonts w:ascii="Garamond" w:hAnsi="Garamond"/>
          <w:sz w:val="22"/>
          <w:szCs w:val="22"/>
        </w:rPr>
        <w:t>Trivium, 2003.</w:t>
      </w:r>
    </w:p>
  </w:footnote>
  <w:footnote w:id="48">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Antúnez Sánchez, Alcides Francisco, </w:t>
      </w:r>
      <w:r>
        <w:rPr>
          <w:rFonts w:ascii="Garamond" w:hAnsi="Garamond"/>
          <w:sz w:val="22"/>
          <w:szCs w:val="22"/>
        </w:rPr>
        <w:t>“</w:t>
      </w:r>
      <w:r w:rsidRPr="002B0522">
        <w:rPr>
          <w:rFonts w:ascii="Garamond" w:hAnsi="Garamond"/>
          <w:sz w:val="22"/>
          <w:szCs w:val="22"/>
        </w:rPr>
        <w:t>Una primera mirada al seguro ambiental y el desarrollo sostenible como parte de la política empresarial cubana</w:t>
      </w:r>
      <w:r>
        <w:rPr>
          <w:rFonts w:ascii="Garamond" w:hAnsi="Garamond"/>
          <w:sz w:val="22"/>
          <w:szCs w:val="22"/>
        </w:rPr>
        <w:t>”</w:t>
      </w:r>
      <w:r w:rsidRPr="00E96F3F">
        <w:rPr>
          <w:rFonts w:ascii="Garamond" w:hAnsi="Garamond"/>
          <w:sz w:val="22"/>
          <w:szCs w:val="22"/>
        </w:rPr>
        <w:t xml:space="preserve">, </w:t>
      </w:r>
      <w:r w:rsidRPr="002B0522">
        <w:rPr>
          <w:rFonts w:ascii="Garamond" w:hAnsi="Garamond"/>
          <w:i/>
          <w:sz w:val="22"/>
          <w:szCs w:val="22"/>
        </w:rPr>
        <w:t>Revista de Derecho, Doctrina y Legislación Ambiental Abeledo Perrot</w:t>
      </w:r>
      <w:r>
        <w:rPr>
          <w:rFonts w:ascii="Garamond" w:hAnsi="Garamond"/>
          <w:sz w:val="22"/>
          <w:szCs w:val="22"/>
        </w:rPr>
        <w:t>, núm. 41, Argentina,</w:t>
      </w:r>
      <w:r w:rsidRPr="00E96F3F">
        <w:rPr>
          <w:rFonts w:ascii="Garamond" w:hAnsi="Garamond"/>
          <w:sz w:val="22"/>
          <w:szCs w:val="22"/>
        </w:rPr>
        <w:t xml:space="preserve"> 2015.</w:t>
      </w:r>
    </w:p>
  </w:footnote>
  <w:footnote w:id="49">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Lorenzetti, Ricardo, </w:t>
      </w:r>
      <w:r w:rsidRPr="00E96F3F">
        <w:rPr>
          <w:rFonts w:ascii="Garamond" w:hAnsi="Garamond"/>
          <w:i/>
          <w:sz w:val="22"/>
          <w:szCs w:val="22"/>
        </w:rPr>
        <w:t>Teoría del derecho ambiental</w:t>
      </w:r>
      <w:r w:rsidRPr="00E96F3F">
        <w:rPr>
          <w:rFonts w:ascii="Garamond" w:hAnsi="Garamond"/>
          <w:sz w:val="22"/>
          <w:szCs w:val="22"/>
        </w:rPr>
        <w:t xml:space="preserve">, </w:t>
      </w:r>
      <w:r>
        <w:rPr>
          <w:rFonts w:ascii="Garamond" w:hAnsi="Garamond"/>
          <w:sz w:val="22"/>
          <w:szCs w:val="22"/>
        </w:rPr>
        <w:t>México,</w:t>
      </w:r>
      <w:r w:rsidRPr="00E96F3F">
        <w:rPr>
          <w:rFonts w:ascii="Garamond" w:hAnsi="Garamond"/>
          <w:sz w:val="22"/>
          <w:szCs w:val="22"/>
        </w:rPr>
        <w:t xml:space="preserve"> Porrúa, 2008.</w:t>
      </w:r>
    </w:p>
  </w:footnote>
  <w:footnote w:id="50">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Fernández de Gatta Sánchez, Dionisio, Documento TOL 1.436.850, España, 2010.</w:t>
      </w:r>
      <w:r>
        <w:rPr>
          <w:rFonts w:ascii="Garamond" w:hAnsi="Garamond"/>
          <w:sz w:val="22"/>
          <w:szCs w:val="22"/>
        </w:rPr>
        <w:t xml:space="preserve"> </w:t>
      </w:r>
      <w:r w:rsidRPr="00E96F3F">
        <w:rPr>
          <w:rFonts w:ascii="Garamond" w:hAnsi="Garamond"/>
          <w:sz w:val="22"/>
          <w:szCs w:val="22"/>
        </w:rPr>
        <w:t>El régimen jurídico de las evaluaciones de impacto ambiental, las evaluaciones estratégic</w:t>
      </w:r>
      <w:r>
        <w:rPr>
          <w:rFonts w:ascii="Garamond" w:hAnsi="Garamond"/>
          <w:sz w:val="22"/>
          <w:szCs w:val="22"/>
        </w:rPr>
        <w:t>as y las auditorías ambientales.</w:t>
      </w:r>
    </w:p>
  </w:footnote>
  <w:footnote w:id="51">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Sanz Rubials, Iñigo, </w:t>
      </w:r>
      <w:r>
        <w:rPr>
          <w:rFonts w:ascii="Garamond" w:hAnsi="Garamond"/>
          <w:sz w:val="22"/>
          <w:szCs w:val="22"/>
        </w:rPr>
        <w:t>“</w:t>
      </w:r>
      <w:r w:rsidRPr="00087354">
        <w:rPr>
          <w:rFonts w:ascii="Garamond" w:hAnsi="Garamond"/>
          <w:sz w:val="22"/>
          <w:szCs w:val="22"/>
        </w:rPr>
        <w:t>Precisiones sobre algunos desarrollos recientes de la política ambiental europea</w:t>
      </w:r>
      <w:r>
        <w:rPr>
          <w:rFonts w:ascii="Garamond" w:hAnsi="Garamond"/>
          <w:sz w:val="22"/>
          <w:szCs w:val="22"/>
        </w:rPr>
        <w:t>”</w:t>
      </w:r>
      <w:r w:rsidRPr="00087354">
        <w:rPr>
          <w:rFonts w:ascii="Garamond" w:hAnsi="Garamond"/>
          <w:sz w:val="22"/>
          <w:szCs w:val="22"/>
        </w:rPr>
        <w:t>,</w:t>
      </w:r>
      <w:r w:rsidRPr="00E96F3F">
        <w:rPr>
          <w:rFonts w:ascii="Garamond" w:hAnsi="Garamond"/>
          <w:sz w:val="22"/>
          <w:szCs w:val="22"/>
        </w:rPr>
        <w:t xml:space="preserve"> </w:t>
      </w:r>
      <w:r w:rsidRPr="00087354">
        <w:rPr>
          <w:rFonts w:ascii="Garamond" w:hAnsi="Garamond"/>
          <w:i/>
          <w:sz w:val="22"/>
          <w:szCs w:val="22"/>
        </w:rPr>
        <w:t>Revista de Estudios Europeos</w:t>
      </w:r>
      <w:r>
        <w:rPr>
          <w:rFonts w:ascii="Garamond" w:hAnsi="Garamond"/>
          <w:sz w:val="22"/>
          <w:szCs w:val="22"/>
        </w:rPr>
        <w:t xml:space="preserve">, núm. </w:t>
      </w:r>
      <w:r w:rsidRPr="00E96F3F">
        <w:rPr>
          <w:rFonts w:ascii="Garamond" w:hAnsi="Garamond"/>
          <w:sz w:val="22"/>
          <w:szCs w:val="22"/>
        </w:rPr>
        <w:t>59, España, 2012.</w:t>
      </w:r>
    </w:p>
  </w:footnote>
  <w:footnote w:id="52">
    <w:p w:rsidR="002204E0" w:rsidRPr="00E96F3F" w:rsidRDefault="002204E0" w:rsidP="002204E0">
      <w:pPr>
        <w:pStyle w:val="Textonotapie"/>
        <w:tabs>
          <w:tab w:val="left" w:pos="5171"/>
        </w:tabs>
        <w:ind w:left="-142"/>
        <w:rPr>
          <w:rFonts w:ascii="Garamond" w:hAnsi="Garamond"/>
          <w:sz w:val="22"/>
          <w:szCs w:val="22"/>
          <w:lang w:val="es-ES"/>
        </w:rPr>
      </w:pPr>
      <w:r w:rsidRPr="00E96F3F">
        <w:rPr>
          <w:rStyle w:val="Refdenotaalpie"/>
          <w:rFonts w:ascii="Garamond" w:hAnsi="Garamond"/>
          <w:sz w:val="22"/>
          <w:szCs w:val="22"/>
        </w:rPr>
        <w:footnoteRef/>
      </w:r>
      <w:r w:rsidRPr="00E96F3F">
        <w:rPr>
          <w:rFonts w:ascii="Garamond" w:hAnsi="Garamond"/>
          <w:sz w:val="22"/>
          <w:szCs w:val="22"/>
        </w:rPr>
        <w:t xml:space="preserve"> Lozano Cutanda, </w:t>
      </w:r>
      <w:r w:rsidRPr="00E96F3F">
        <w:rPr>
          <w:rFonts w:ascii="Garamond" w:hAnsi="Garamond"/>
          <w:i/>
          <w:sz w:val="22"/>
          <w:szCs w:val="22"/>
        </w:rPr>
        <w:t>op. cit</w:t>
      </w:r>
      <w:r>
        <w:rPr>
          <w:rFonts w:ascii="Garamond" w:hAnsi="Garamond"/>
          <w:i/>
          <w:sz w:val="22"/>
          <w:szCs w:val="22"/>
        </w:rPr>
        <w:t>.</w:t>
      </w:r>
      <w:r w:rsidRPr="00E96F3F">
        <w:rPr>
          <w:rFonts w:ascii="Garamond" w:hAnsi="Garamond"/>
          <w:sz w:val="22"/>
          <w:szCs w:val="22"/>
        </w:rPr>
        <w:t>, pp.</w:t>
      </w:r>
      <w:r>
        <w:rPr>
          <w:rFonts w:ascii="Garamond" w:hAnsi="Garamond"/>
          <w:sz w:val="22"/>
          <w:szCs w:val="22"/>
        </w:rPr>
        <w:t xml:space="preserve"> </w:t>
      </w:r>
      <w:r w:rsidRPr="00E96F3F">
        <w:rPr>
          <w:rFonts w:ascii="Garamond" w:hAnsi="Garamond"/>
          <w:sz w:val="22"/>
          <w:szCs w:val="22"/>
        </w:rPr>
        <w:t>11-29.</w:t>
      </w:r>
      <w:r w:rsidRPr="00E96F3F">
        <w:rPr>
          <w:rFonts w:ascii="Garamond" w:hAnsi="Garamond"/>
          <w:sz w:val="22"/>
          <w:szCs w:val="22"/>
        </w:rPr>
        <w:tab/>
      </w:r>
    </w:p>
  </w:footnote>
  <w:footnote w:id="53">
    <w:p w:rsidR="002204E0" w:rsidRPr="00087354" w:rsidRDefault="002204E0" w:rsidP="002204E0">
      <w:pPr>
        <w:pStyle w:val="Textonotapie"/>
        <w:ind w:left="-142" w:right="-142"/>
        <w:jc w:val="both"/>
        <w:rPr>
          <w:rFonts w:ascii="Garamond" w:hAnsi="Garamond"/>
          <w:sz w:val="22"/>
          <w:szCs w:val="22"/>
        </w:rPr>
      </w:pPr>
      <w:r w:rsidRPr="00E96F3F">
        <w:rPr>
          <w:rStyle w:val="Refdenotaalpie"/>
          <w:rFonts w:ascii="Garamond" w:hAnsi="Garamond"/>
          <w:sz w:val="22"/>
          <w:szCs w:val="22"/>
        </w:rPr>
        <w:footnoteRef/>
      </w:r>
      <w:r w:rsidRPr="00087354">
        <w:rPr>
          <w:rFonts w:ascii="Garamond" w:hAnsi="Garamond"/>
          <w:sz w:val="22"/>
          <w:szCs w:val="22"/>
        </w:rPr>
        <w:t xml:space="preserve"> Martín Mateo, </w:t>
      </w:r>
      <w:r w:rsidRPr="00087354">
        <w:rPr>
          <w:rFonts w:ascii="Garamond" w:hAnsi="Garamond"/>
          <w:i/>
          <w:sz w:val="22"/>
          <w:szCs w:val="22"/>
        </w:rPr>
        <w:t>op. cit</w:t>
      </w:r>
      <w:r w:rsidRPr="00087354">
        <w:rPr>
          <w:rFonts w:ascii="Garamond" w:hAnsi="Garamond"/>
          <w:sz w:val="22"/>
          <w:szCs w:val="22"/>
        </w:rPr>
        <w:t>., pp.</w:t>
      </w:r>
      <w:r>
        <w:rPr>
          <w:rFonts w:ascii="Garamond" w:hAnsi="Garamond"/>
          <w:sz w:val="22"/>
          <w:szCs w:val="22"/>
        </w:rPr>
        <w:t xml:space="preserve"> </w:t>
      </w:r>
      <w:r w:rsidRPr="00087354">
        <w:rPr>
          <w:rFonts w:ascii="Garamond" w:hAnsi="Garamond"/>
          <w:sz w:val="22"/>
          <w:szCs w:val="22"/>
        </w:rPr>
        <w:t>17-37.</w:t>
      </w:r>
    </w:p>
  </w:footnote>
  <w:footnote w:id="54">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Betancort Rodríguez, </w:t>
      </w:r>
      <w:r w:rsidRPr="00E96F3F">
        <w:rPr>
          <w:rFonts w:ascii="Garamond" w:hAnsi="Garamond"/>
          <w:i/>
          <w:sz w:val="22"/>
          <w:szCs w:val="22"/>
        </w:rPr>
        <w:t>op</w:t>
      </w:r>
      <w:r>
        <w:rPr>
          <w:rFonts w:ascii="Garamond" w:hAnsi="Garamond"/>
          <w:i/>
          <w:sz w:val="22"/>
          <w:szCs w:val="22"/>
        </w:rPr>
        <w:t>.</w:t>
      </w:r>
      <w:r w:rsidRPr="00E96F3F">
        <w:rPr>
          <w:rFonts w:ascii="Garamond" w:hAnsi="Garamond"/>
          <w:i/>
          <w:sz w:val="22"/>
          <w:szCs w:val="22"/>
        </w:rPr>
        <w:t xml:space="preserve"> cit</w:t>
      </w:r>
      <w:r w:rsidRPr="00E96F3F">
        <w:rPr>
          <w:rFonts w:ascii="Garamond" w:hAnsi="Garamond"/>
          <w:sz w:val="22"/>
          <w:szCs w:val="22"/>
        </w:rPr>
        <w:t>. pp.</w:t>
      </w:r>
      <w:r>
        <w:rPr>
          <w:rFonts w:ascii="Garamond" w:hAnsi="Garamond"/>
          <w:sz w:val="22"/>
          <w:szCs w:val="22"/>
        </w:rPr>
        <w:t xml:space="preserve"> </w:t>
      </w:r>
      <w:r w:rsidRPr="00E96F3F">
        <w:rPr>
          <w:rFonts w:ascii="Garamond" w:hAnsi="Garamond"/>
          <w:sz w:val="22"/>
          <w:szCs w:val="22"/>
        </w:rPr>
        <w:t>5-47.</w:t>
      </w:r>
    </w:p>
  </w:footnote>
  <w:footnote w:id="55">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Fernández de Gatta Sánchez, </w:t>
      </w:r>
      <w:r w:rsidRPr="00E96F3F">
        <w:rPr>
          <w:rFonts w:ascii="Garamond" w:hAnsi="Garamond"/>
          <w:i/>
          <w:sz w:val="22"/>
          <w:szCs w:val="22"/>
        </w:rPr>
        <w:t>op. cit</w:t>
      </w:r>
      <w:r w:rsidRPr="00E96F3F">
        <w:rPr>
          <w:rFonts w:ascii="Garamond" w:hAnsi="Garamond"/>
          <w:sz w:val="22"/>
          <w:szCs w:val="22"/>
        </w:rPr>
        <w:t>, pp.</w:t>
      </w:r>
      <w:r>
        <w:rPr>
          <w:rFonts w:ascii="Garamond" w:hAnsi="Garamond"/>
          <w:sz w:val="22"/>
          <w:szCs w:val="22"/>
        </w:rPr>
        <w:t xml:space="preserve"> </w:t>
      </w:r>
      <w:r w:rsidRPr="00E96F3F">
        <w:rPr>
          <w:rFonts w:ascii="Garamond" w:hAnsi="Garamond"/>
          <w:sz w:val="22"/>
          <w:szCs w:val="22"/>
        </w:rPr>
        <w:t>1-58.</w:t>
      </w:r>
    </w:p>
  </w:footnote>
  <w:footnote w:id="56">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Mora Ruiz, Manuela, </w:t>
      </w:r>
      <w:r>
        <w:rPr>
          <w:rFonts w:ascii="Garamond" w:hAnsi="Garamond"/>
          <w:sz w:val="22"/>
          <w:szCs w:val="22"/>
        </w:rPr>
        <w:t>“</w:t>
      </w:r>
      <w:r w:rsidRPr="003074E4">
        <w:rPr>
          <w:rFonts w:ascii="Garamond" w:hAnsi="Garamond"/>
          <w:sz w:val="22"/>
          <w:szCs w:val="22"/>
        </w:rPr>
        <w:t>La gestión ambiental compartida: función pública y mercado</w:t>
      </w:r>
      <w:r>
        <w:rPr>
          <w:rFonts w:ascii="Garamond" w:hAnsi="Garamond"/>
          <w:sz w:val="22"/>
          <w:szCs w:val="22"/>
        </w:rPr>
        <w:t>”</w:t>
      </w:r>
      <w:r w:rsidRPr="003074E4">
        <w:rPr>
          <w:rFonts w:ascii="Garamond" w:hAnsi="Garamond"/>
          <w:sz w:val="22"/>
          <w:szCs w:val="22"/>
        </w:rPr>
        <w:t>,</w:t>
      </w:r>
      <w:r w:rsidRPr="00E96F3F">
        <w:rPr>
          <w:rFonts w:ascii="Garamond" w:hAnsi="Garamond"/>
          <w:sz w:val="22"/>
          <w:szCs w:val="22"/>
        </w:rPr>
        <w:t xml:space="preserve"> </w:t>
      </w:r>
      <w:r w:rsidRPr="00087354">
        <w:rPr>
          <w:rFonts w:ascii="Garamond" w:hAnsi="Garamond"/>
          <w:i/>
          <w:sz w:val="22"/>
          <w:szCs w:val="22"/>
        </w:rPr>
        <w:t>Revista Catalana de Derecho Ambiental</w:t>
      </w:r>
      <w:r>
        <w:rPr>
          <w:rFonts w:ascii="Garamond" w:hAnsi="Garamond"/>
          <w:sz w:val="22"/>
          <w:szCs w:val="22"/>
        </w:rPr>
        <w:t>, núm.</w:t>
      </w:r>
      <w:r w:rsidRPr="00E96F3F">
        <w:rPr>
          <w:rFonts w:ascii="Garamond" w:hAnsi="Garamond"/>
          <w:sz w:val="22"/>
          <w:szCs w:val="22"/>
        </w:rPr>
        <w:t xml:space="preserve"> 4, España, 2012, pp.</w:t>
      </w:r>
      <w:r>
        <w:rPr>
          <w:rFonts w:ascii="Garamond" w:hAnsi="Garamond"/>
          <w:sz w:val="22"/>
          <w:szCs w:val="22"/>
        </w:rPr>
        <w:t xml:space="preserve"> </w:t>
      </w:r>
      <w:r w:rsidRPr="00E96F3F">
        <w:rPr>
          <w:rFonts w:ascii="Garamond" w:hAnsi="Garamond"/>
          <w:sz w:val="22"/>
          <w:szCs w:val="22"/>
        </w:rPr>
        <w:t>1-428.</w:t>
      </w:r>
      <w:r>
        <w:rPr>
          <w:rFonts w:ascii="Garamond" w:hAnsi="Garamond"/>
          <w:sz w:val="22"/>
          <w:szCs w:val="22"/>
        </w:rPr>
        <w:t xml:space="preserve"> L</w:t>
      </w:r>
      <w:r w:rsidRPr="00E96F3F">
        <w:rPr>
          <w:rFonts w:ascii="Garamond" w:hAnsi="Garamond"/>
          <w:sz w:val="22"/>
          <w:szCs w:val="22"/>
        </w:rPr>
        <w:t>a tutela ambiental, la función pública de protección medio amb</w:t>
      </w:r>
      <w:r>
        <w:rPr>
          <w:rFonts w:ascii="Garamond" w:hAnsi="Garamond"/>
          <w:sz w:val="22"/>
          <w:szCs w:val="22"/>
        </w:rPr>
        <w:t>iental en las formas de gestión.</w:t>
      </w:r>
    </w:p>
  </w:footnote>
  <w:footnote w:id="57">
    <w:p w:rsidR="002204E0" w:rsidRPr="00087354" w:rsidRDefault="002204E0" w:rsidP="002204E0">
      <w:pPr>
        <w:pStyle w:val="Textonotapie"/>
        <w:ind w:left="-142" w:right="-142"/>
        <w:jc w:val="both"/>
        <w:rPr>
          <w:rFonts w:ascii="Garamond" w:hAnsi="Garamond"/>
          <w:sz w:val="22"/>
          <w:szCs w:val="22"/>
        </w:rPr>
      </w:pPr>
      <w:r w:rsidRPr="00E96F3F">
        <w:rPr>
          <w:rStyle w:val="Refdenotaalpie"/>
          <w:rFonts w:ascii="Garamond" w:hAnsi="Garamond"/>
          <w:sz w:val="22"/>
          <w:szCs w:val="22"/>
        </w:rPr>
        <w:footnoteRef/>
      </w:r>
      <w:r w:rsidRPr="00087354">
        <w:rPr>
          <w:rFonts w:ascii="Garamond" w:hAnsi="Garamond"/>
          <w:sz w:val="22"/>
          <w:szCs w:val="22"/>
        </w:rPr>
        <w:t xml:space="preserve"> Martín Mateo, </w:t>
      </w:r>
      <w:r w:rsidRPr="00087354">
        <w:rPr>
          <w:rFonts w:ascii="Garamond" w:hAnsi="Garamond"/>
          <w:i/>
          <w:sz w:val="22"/>
          <w:szCs w:val="22"/>
        </w:rPr>
        <w:t>op. cit</w:t>
      </w:r>
      <w:r w:rsidRPr="00087354">
        <w:rPr>
          <w:rFonts w:ascii="Garamond" w:hAnsi="Garamond"/>
          <w:sz w:val="22"/>
          <w:szCs w:val="22"/>
        </w:rPr>
        <w:t>. pp.115-137.</w:t>
      </w:r>
    </w:p>
  </w:footnote>
  <w:footnote w:id="58">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Fernández de Gatta Sánchez, </w:t>
      </w:r>
      <w:r w:rsidRPr="00E96F3F">
        <w:rPr>
          <w:rFonts w:ascii="Garamond" w:hAnsi="Garamond"/>
          <w:i/>
          <w:sz w:val="22"/>
          <w:szCs w:val="22"/>
        </w:rPr>
        <w:t>op. cit</w:t>
      </w:r>
      <w:r w:rsidRPr="00E96F3F">
        <w:rPr>
          <w:rFonts w:ascii="Garamond" w:hAnsi="Garamond"/>
          <w:sz w:val="22"/>
          <w:szCs w:val="22"/>
        </w:rPr>
        <w:t>. pp.1 y ss.</w:t>
      </w:r>
    </w:p>
  </w:footnote>
  <w:footnote w:id="59">
    <w:p w:rsidR="002204E0" w:rsidRPr="00E96F3F" w:rsidRDefault="002204E0" w:rsidP="002204E0">
      <w:pPr>
        <w:pStyle w:val="Textonotapie"/>
        <w:ind w:left="-142" w:right="-142"/>
        <w:jc w:val="both"/>
        <w:rPr>
          <w:rFonts w:ascii="Garamond" w:hAnsi="Garamond"/>
          <w:sz w:val="22"/>
          <w:szCs w:val="22"/>
          <w:lang w:val="es-ES"/>
        </w:rPr>
      </w:pPr>
      <w:r w:rsidRPr="00E96F3F">
        <w:rPr>
          <w:rStyle w:val="Refdenotaalpie"/>
          <w:rFonts w:ascii="Garamond" w:hAnsi="Garamond"/>
          <w:sz w:val="22"/>
          <w:szCs w:val="22"/>
        </w:rPr>
        <w:footnoteRef/>
      </w:r>
      <w:r>
        <w:rPr>
          <w:rFonts w:ascii="Garamond" w:hAnsi="Garamond"/>
          <w:sz w:val="22"/>
          <w:szCs w:val="22"/>
        </w:rPr>
        <w:t xml:space="preserve"> </w:t>
      </w:r>
      <w:r w:rsidRPr="00E96F3F">
        <w:rPr>
          <w:rFonts w:ascii="Garamond" w:hAnsi="Garamond"/>
          <w:sz w:val="22"/>
          <w:szCs w:val="22"/>
        </w:rPr>
        <w:t xml:space="preserve">Nogueira López, Alba, </w:t>
      </w:r>
      <w:r>
        <w:rPr>
          <w:rFonts w:ascii="Garamond" w:hAnsi="Garamond"/>
          <w:sz w:val="22"/>
          <w:szCs w:val="22"/>
        </w:rPr>
        <w:t>“</w:t>
      </w:r>
      <w:r w:rsidRPr="00525849">
        <w:rPr>
          <w:rFonts w:ascii="Garamond" w:hAnsi="Garamond"/>
          <w:sz w:val="22"/>
          <w:szCs w:val="22"/>
        </w:rPr>
        <w:t>Hacia un EMAS de alcance internacional en competencia con la ISO 14001: notas a la revisión del Reglamento EMAS</w:t>
      </w:r>
      <w:r>
        <w:rPr>
          <w:rFonts w:ascii="Garamond" w:hAnsi="Garamond"/>
          <w:sz w:val="22"/>
          <w:szCs w:val="22"/>
        </w:rPr>
        <w:t>”</w:t>
      </w:r>
      <w:r w:rsidRPr="00E96F3F">
        <w:rPr>
          <w:rFonts w:ascii="Garamond" w:hAnsi="Garamond"/>
          <w:sz w:val="22"/>
          <w:szCs w:val="22"/>
        </w:rPr>
        <w:t xml:space="preserve">, </w:t>
      </w:r>
      <w:r w:rsidRPr="00525849">
        <w:rPr>
          <w:rFonts w:ascii="Garamond" w:hAnsi="Garamond"/>
          <w:i/>
          <w:sz w:val="22"/>
          <w:szCs w:val="22"/>
        </w:rPr>
        <w:t>Revista electrónica Actualidad Jurídica Ambiental</w:t>
      </w:r>
      <w:r w:rsidRPr="00E96F3F">
        <w:rPr>
          <w:rFonts w:ascii="Garamond" w:hAnsi="Garamond"/>
          <w:sz w:val="22"/>
          <w:szCs w:val="22"/>
        </w:rPr>
        <w:t>, España, 2010</w:t>
      </w:r>
      <w:r>
        <w:rPr>
          <w:rFonts w:ascii="Garamond" w:hAnsi="Garamond"/>
          <w:sz w:val="22"/>
          <w:szCs w:val="22"/>
        </w:rPr>
        <w:t>.</w:t>
      </w:r>
      <w:r w:rsidRPr="00E96F3F">
        <w:rPr>
          <w:rFonts w:ascii="Garamond" w:hAnsi="Garamond"/>
          <w:sz w:val="22"/>
          <w:szCs w:val="22"/>
        </w:rPr>
        <w:t xml:space="preserve"> </w:t>
      </w:r>
    </w:p>
  </w:footnote>
  <w:footnote w:id="60">
    <w:p w:rsidR="002204E0" w:rsidRPr="000B7BFD" w:rsidRDefault="002204E0" w:rsidP="002204E0">
      <w:pPr>
        <w:pStyle w:val="Textonotapie"/>
        <w:ind w:left="-142" w:right="-142"/>
        <w:jc w:val="both"/>
        <w:rPr>
          <w:rFonts w:ascii="Garamond" w:hAnsi="Garamond"/>
          <w:sz w:val="22"/>
          <w:szCs w:val="22"/>
          <w:lang w:val="es-ES"/>
        </w:rPr>
      </w:pPr>
      <w:r w:rsidRPr="000B7BFD">
        <w:rPr>
          <w:rStyle w:val="Refdenotaalpie"/>
          <w:rFonts w:ascii="Garamond" w:hAnsi="Garamond"/>
          <w:sz w:val="22"/>
          <w:szCs w:val="22"/>
        </w:rPr>
        <w:footnoteRef/>
      </w:r>
      <w:r>
        <w:rPr>
          <w:rFonts w:ascii="Garamond" w:hAnsi="Garamond"/>
          <w:sz w:val="22"/>
          <w:szCs w:val="22"/>
        </w:rPr>
        <w:t xml:space="preserve"> </w:t>
      </w:r>
      <w:r w:rsidRPr="000B7BFD">
        <w:rPr>
          <w:rFonts w:ascii="Garamond" w:hAnsi="Garamond"/>
          <w:sz w:val="22"/>
          <w:szCs w:val="22"/>
        </w:rPr>
        <w:t xml:space="preserve">Triana Cordoví, Juan, </w:t>
      </w:r>
      <w:r>
        <w:rPr>
          <w:rFonts w:ascii="Garamond" w:hAnsi="Garamond"/>
          <w:sz w:val="22"/>
          <w:szCs w:val="22"/>
        </w:rPr>
        <w:t>“</w:t>
      </w:r>
      <w:r w:rsidRPr="007B3DF6">
        <w:rPr>
          <w:rFonts w:ascii="Garamond" w:hAnsi="Garamond"/>
          <w:sz w:val="22"/>
          <w:szCs w:val="22"/>
        </w:rPr>
        <w:t>La economía cubana: balance de las transformaciones y perspectivas. Cuba: ¿De la actualización del modelo económico al desarrollo, necesidad del país de obtener flujos de capital a través de la inversión extranje</w:t>
      </w:r>
      <w:r>
        <w:rPr>
          <w:rFonts w:ascii="Garamond" w:hAnsi="Garamond"/>
          <w:sz w:val="22"/>
          <w:szCs w:val="22"/>
        </w:rPr>
        <w:t>ra para modernizar la industria”</w:t>
      </w:r>
      <w:r w:rsidRPr="000B7BFD">
        <w:rPr>
          <w:rFonts w:ascii="Garamond" w:hAnsi="Garamond"/>
          <w:sz w:val="22"/>
          <w:szCs w:val="22"/>
        </w:rPr>
        <w:t xml:space="preserve">, </w:t>
      </w:r>
      <w:r w:rsidRPr="007B3DF6">
        <w:rPr>
          <w:rFonts w:ascii="Garamond" w:hAnsi="Garamond"/>
          <w:i/>
          <w:sz w:val="22"/>
          <w:szCs w:val="22"/>
        </w:rPr>
        <w:t>Revista de Contabilidad y Finanzas Cofín</w:t>
      </w:r>
      <w:r>
        <w:rPr>
          <w:rFonts w:ascii="Garamond" w:hAnsi="Garamond"/>
          <w:i/>
          <w:sz w:val="22"/>
          <w:szCs w:val="22"/>
        </w:rPr>
        <w:t xml:space="preserve"> Habana</w:t>
      </w:r>
      <w:r w:rsidRPr="000B7BFD">
        <w:rPr>
          <w:rFonts w:ascii="Garamond" w:hAnsi="Garamond"/>
          <w:sz w:val="22"/>
          <w:szCs w:val="22"/>
        </w:rPr>
        <w:t xml:space="preserve">, La Habana, 2013, </w:t>
      </w:r>
      <w:r>
        <w:rPr>
          <w:rFonts w:ascii="Garamond" w:hAnsi="Garamond"/>
          <w:sz w:val="22"/>
          <w:szCs w:val="22"/>
        </w:rPr>
        <w:t xml:space="preserve">disponible en </w:t>
      </w:r>
      <w:r w:rsidRPr="009E3B90">
        <w:rPr>
          <w:rFonts w:ascii="Garamond" w:hAnsi="Garamond"/>
          <w:sz w:val="22"/>
          <w:szCs w:val="22"/>
        </w:rPr>
        <w:t>hptt//www.cofinhab.uh.cu</w:t>
      </w:r>
      <w:r w:rsidRPr="009E3B90">
        <w:rPr>
          <w:rFonts w:ascii="Garamond" w:hAnsi="Garamond"/>
          <w:i/>
          <w:sz w:val="22"/>
          <w:szCs w:val="22"/>
          <w:u w:val="single"/>
        </w:rPr>
        <w:t>/</w:t>
      </w:r>
      <w:r w:rsidRPr="009E3B90">
        <w:rPr>
          <w:rFonts w:ascii="Garamond" w:hAnsi="Garamond"/>
          <w:sz w:val="22"/>
          <w:szCs w:val="22"/>
        </w:rPr>
        <w:t>,</w:t>
      </w:r>
      <w:r w:rsidRPr="0087443C">
        <w:rPr>
          <w:rFonts w:ascii="Garamond" w:hAnsi="Garamond"/>
          <w:sz w:val="22"/>
          <w:szCs w:val="22"/>
        </w:rPr>
        <w:t xml:space="preserve"> consulta: 07/01/16.</w:t>
      </w:r>
      <w:r w:rsidRPr="000B7BFD">
        <w:rPr>
          <w:rFonts w:ascii="Garamond" w:hAnsi="Garamond"/>
          <w:sz w:val="22"/>
          <w:szCs w:val="22"/>
        </w:rPr>
        <w:t xml:space="preserve"> </w:t>
      </w:r>
    </w:p>
  </w:footnote>
  <w:footnote w:id="61">
    <w:p w:rsidR="002204E0" w:rsidRPr="000B7BFD" w:rsidRDefault="002204E0" w:rsidP="002204E0">
      <w:pPr>
        <w:pStyle w:val="Textonotapie"/>
        <w:ind w:left="-142" w:right="-142"/>
        <w:jc w:val="both"/>
        <w:rPr>
          <w:rFonts w:ascii="Garamond" w:hAnsi="Garamond"/>
          <w:sz w:val="22"/>
          <w:szCs w:val="22"/>
          <w:lang w:val="es-ES"/>
        </w:rPr>
      </w:pPr>
      <w:r w:rsidRPr="000B7BFD">
        <w:rPr>
          <w:rStyle w:val="Refdenotaalpie"/>
          <w:rFonts w:ascii="Garamond" w:hAnsi="Garamond"/>
          <w:sz w:val="22"/>
          <w:szCs w:val="22"/>
        </w:rPr>
        <w:footnoteRef/>
      </w:r>
      <w:r>
        <w:rPr>
          <w:rFonts w:ascii="Garamond" w:hAnsi="Garamond"/>
          <w:sz w:val="22"/>
          <w:szCs w:val="22"/>
        </w:rPr>
        <w:t xml:space="preserve"> </w:t>
      </w:r>
      <w:r w:rsidRPr="000B7BFD">
        <w:rPr>
          <w:rFonts w:ascii="Garamond" w:hAnsi="Garamond"/>
          <w:sz w:val="22"/>
          <w:szCs w:val="22"/>
        </w:rPr>
        <w:t xml:space="preserve">Parejo Alfonso, Luciano, </w:t>
      </w:r>
      <w:r>
        <w:rPr>
          <w:rFonts w:ascii="Garamond" w:hAnsi="Garamond"/>
          <w:sz w:val="22"/>
          <w:szCs w:val="22"/>
        </w:rPr>
        <w:t>“</w:t>
      </w:r>
      <w:r w:rsidRPr="007B3DF6">
        <w:rPr>
          <w:rFonts w:ascii="Garamond" w:hAnsi="Garamond"/>
          <w:sz w:val="22"/>
          <w:szCs w:val="22"/>
        </w:rPr>
        <w:t>El derecho ante la innovación y los riesgos derivados del cambio climático, el régimen jurídico legal general de los bienes públicos</w:t>
      </w:r>
      <w:r>
        <w:rPr>
          <w:rFonts w:ascii="Garamond" w:hAnsi="Garamond"/>
          <w:sz w:val="22"/>
          <w:szCs w:val="22"/>
        </w:rPr>
        <w:t>”</w:t>
      </w:r>
      <w:r w:rsidRPr="000B7BFD">
        <w:rPr>
          <w:rFonts w:ascii="Garamond" w:hAnsi="Garamond"/>
          <w:sz w:val="22"/>
          <w:szCs w:val="22"/>
        </w:rPr>
        <w:t xml:space="preserve">, </w:t>
      </w:r>
      <w:r>
        <w:rPr>
          <w:rFonts w:ascii="Garamond" w:hAnsi="Garamond"/>
          <w:sz w:val="22"/>
          <w:szCs w:val="22"/>
        </w:rPr>
        <w:t xml:space="preserve">España, </w:t>
      </w:r>
      <w:r w:rsidRPr="000B7BFD">
        <w:rPr>
          <w:rFonts w:ascii="Garamond" w:hAnsi="Garamond"/>
          <w:sz w:val="22"/>
          <w:szCs w:val="22"/>
        </w:rPr>
        <w:t>Tirand lo Blanch, 2015, pp.</w:t>
      </w:r>
      <w:r>
        <w:rPr>
          <w:rFonts w:ascii="Garamond" w:hAnsi="Garamond"/>
          <w:sz w:val="22"/>
          <w:szCs w:val="22"/>
        </w:rPr>
        <w:t xml:space="preserve"> </w:t>
      </w:r>
      <w:r w:rsidRPr="000B7BFD">
        <w:rPr>
          <w:rFonts w:ascii="Garamond" w:hAnsi="Garamond"/>
          <w:sz w:val="22"/>
          <w:szCs w:val="22"/>
        </w:rPr>
        <w:t>15-54.</w:t>
      </w:r>
    </w:p>
  </w:footnote>
  <w:footnote w:id="62">
    <w:p w:rsidR="002204E0" w:rsidRPr="000B7BFD" w:rsidRDefault="002204E0" w:rsidP="002204E0">
      <w:pPr>
        <w:pStyle w:val="Textonotapie"/>
        <w:ind w:left="-142" w:right="-142"/>
        <w:jc w:val="both"/>
        <w:rPr>
          <w:rFonts w:ascii="Garamond" w:hAnsi="Garamond"/>
          <w:sz w:val="22"/>
          <w:szCs w:val="22"/>
          <w:lang w:val="es-ES"/>
        </w:rPr>
      </w:pPr>
      <w:r w:rsidRPr="000B7BFD">
        <w:rPr>
          <w:rStyle w:val="Refdenotaalpie"/>
          <w:rFonts w:ascii="Garamond" w:hAnsi="Garamond"/>
          <w:sz w:val="22"/>
          <w:szCs w:val="22"/>
        </w:rPr>
        <w:footnoteRef/>
      </w:r>
      <w:r>
        <w:rPr>
          <w:rFonts w:ascii="Garamond" w:hAnsi="Garamond"/>
          <w:sz w:val="22"/>
          <w:szCs w:val="22"/>
        </w:rPr>
        <w:t xml:space="preserve"> </w:t>
      </w:r>
      <w:r w:rsidRPr="000B7BFD">
        <w:rPr>
          <w:rFonts w:ascii="Garamond" w:hAnsi="Garamond"/>
          <w:sz w:val="22"/>
          <w:szCs w:val="22"/>
        </w:rPr>
        <w:t xml:space="preserve">Antúnez Sánchez, </w:t>
      </w:r>
      <w:r w:rsidRPr="000B7BFD">
        <w:rPr>
          <w:rFonts w:ascii="Garamond" w:hAnsi="Garamond"/>
          <w:i/>
          <w:sz w:val="22"/>
          <w:szCs w:val="22"/>
        </w:rPr>
        <w:t>op</w:t>
      </w:r>
      <w:r>
        <w:rPr>
          <w:rFonts w:ascii="Garamond" w:hAnsi="Garamond"/>
          <w:i/>
          <w:sz w:val="22"/>
          <w:szCs w:val="22"/>
        </w:rPr>
        <w:t>.</w:t>
      </w:r>
      <w:r w:rsidRPr="000B7BFD">
        <w:rPr>
          <w:rFonts w:ascii="Garamond" w:hAnsi="Garamond"/>
          <w:i/>
          <w:sz w:val="22"/>
          <w:szCs w:val="22"/>
        </w:rPr>
        <w:t xml:space="preserve"> cit.</w:t>
      </w:r>
      <w:r w:rsidRPr="000B7BFD">
        <w:rPr>
          <w:rFonts w:ascii="Garamond" w:hAnsi="Garamond"/>
          <w:sz w:val="22"/>
          <w:szCs w:val="22"/>
        </w:rPr>
        <w:t xml:space="preserve"> pp. 1-25</w:t>
      </w:r>
    </w:p>
  </w:footnote>
  <w:footnote w:id="63">
    <w:p w:rsidR="002204E0" w:rsidRPr="000B7BFD" w:rsidRDefault="002204E0" w:rsidP="002204E0">
      <w:pPr>
        <w:pStyle w:val="Textonotapie"/>
        <w:ind w:left="-142" w:right="-142"/>
        <w:jc w:val="both"/>
        <w:rPr>
          <w:rFonts w:ascii="Garamond" w:hAnsi="Garamond"/>
          <w:sz w:val="22"/>
          <w:szCs w:val="22"/>
          <w:lang w:val="es-ES"/>
        </w:rPr>
      </w:pPr>
      <w:r w:rsidRPr="000B7BFD">
        <w:rPr>
          <w:rStyle w:val="Refdenotaalpie"/>
          <w:rFonts w:ascii="Garamond" w:hAnsi="Garamond"/>
          <w:sz w:val="22"/>
          <w:szCs w:val="22"/>
        </w:rPr>
        <w:footnoteRef/>
      </w:r>
      <w:r>
        <w:rPr>
          <w:rFonts w:ascii="Garamond" w:hAnsi="Garamond"/>
          <w:sz w:val="22"/>
          <w:szCs w:val="22"/>
        </w:rPr>
        <w:t xml:space="preserve"> </w:t>
      </w:r>
      <w:r w:rsidRPr="000B7BFD">
        <w:rPr>
          <w:rFonts w:ascii="Garamond" w:hAnsi="Garamond"/>
          <w:sz w:val="22"/>
          <w:szCs w:val="22"/>
        </w:rPr>
        <w:t xml:space="preserve">Lavandeira, Xavier, </w:t>
      </w:r>
      <w:r>
        <w:rPr>
          <w:rFonts w:ascii="Garamond" w:hAnsi="Garamond"/>
          <w:sz w:val="22"/>
          <w:szCs w:val="22"/>
        </w:rPr>
        <w:t>“</w:t>
      </w:r>
      <w:r w:rsidRPr="007B3DF6">
        <w:rPr>
          <w:rFonts w:ascii="Garamond" w:hAnsi="Garamond"/>
          <w:sz w:val="22"/>
          <w:szCs w:val="22"/>
        </w:rPr>
        <w:t>Cambio climático y políticas impositivas de control</w:t>
      </w:r>
      <w:r>
        <w:rPr>
          <w:rFonts w:ascii="Garamond" w:hAnsi="Garamond"/>
          <w:sz w:val="22"/>
          <w:szCs w:val="22"/>
        </w:rPr>
        <w:t>”</w:t>
      </w:r>
      <w:r w:rsidRPr="007B3DF6">
        <w:rPr>
          <w:rFonts w:ascii="Garamond" w:hAnsi="Garamond"/>
          <w:sz w:val="22"/>
          <w:szCs w:val="22"/>
        </w:rPr>
        <w:t>,</w:t>
      </w:r>
      <w:r w:rsidRPr="000B7BFD">
        <w:rPr>
          <w:rFonts w:ascii="Garamond" w:hAnsi="Garamond"/>
          <w:sz w:val="22"/>
          <w:szCs w:val="22"/>
        </w:rPr>
        <w:t xml:space="preserve"> </w:t>
      </w:r>
      <w:r w:rsidRPr="007B3DF6">
        <w:rPr>
          <w:rFonts w:ascii="Garamond" w:hAnsi="Garamond"/>
          <w:i/>
          <w:sz w:val="22"/>
          <w:szCs w:val="22"/>
        </w:rPr>
        <w:t>Revista Universidad de Vigo, España</w:t>
      </w:r>
      <w:r w:rsidRPr="000B7BFD">
        <w:rPr>
          <w:rFonts w:ascii="Garamond" w:hAnsi="Garamond"/>
          <w:sz w:val="22"/>
          <w:szCs w:val="22"/>
        </w:rPr>
        <w:t>, 2014, pp.</w:t>
      </w:r>
      <w:r>
        <w:rPr>
          <w:rFonts w:ascii="Garamond" w:hAnsi="Garamond"/>
          <w:sz w:val="22"/>
          <w:szCs w:val="22"/>
        </w:rPr>
        <w:t xml:space="preserve"> </w:t>
      </w:r>
      <w:r w:rsidRPr="000B7BFD">
        <w:rPr>
          <w:rFonts w:ascii="Garamond" w:hAnsi="Garamond"/>
          <w:sz w:val="22"/>
          <w:szCs w:val="22"/>
        </w:rPr>
        <w:t>1-24.</w:t>
      </w:r>
    </w:p>
  </w:footnote>
  <w:footnote w:id="64">
    <w:p w:rsidR="002204E0" w:rsidRPr="000871EC" w:rsidRDefault="002204E0" w:rsidP="002204E0">
      <w:pPr>
        <w:pStyle w:val="Textonotapie"/>
        <w:ind w:left="-142" w:right="-142"/>
        <w:jc w:val="both"/>
        <w:rPr>
          <w:rFonts w:ascii="Garamond" w:hAnsi="Garamond"/>
          <w:sz w:val="22"/>
          <w:szCs w:val="22"/>
          <w:lang w:val="es-ES"/>
        </w:rPr>
      </w:pPr>
      <w:r w:rsidRPr="000871EC">
        <w:rPr>
          <w:rStyle w:val="Refdenotaalpie"/>
          <w:rFonts w:ascii="Garamond" w:hAnsi="Garamond"/>
          <w:sz w:val="22"/>
          <w:szCs w:val="22"/>
        </w:rPr>
        <w:footnoteRef/>
      </w:r>
      <w:r>
        <w:rPr>
          <w:rFonts w:ascii="Garamond" w:hAnsi="Garamond"/>
          <w:sz w:val="22"/>
          <w:szCs w:val="22"/>
        </w:rPr>
        <w:t xml:space="preserve"> </w:t>
      </w:r>
      <w:r w:rsidRPr="000871EC">
        <w:rPr>
          <w:rFonts w:ascii="Garamond" w:hAnsi="Garamond"/>
          <w:sz w:val="22"/>
          <w:szCs w:val="22"/>
        </w:rPr>
        <w:t xml:space="preserve">Bejerano Portela, Gladys, </w:t>
      </w:r>
      <w:r w:rsidRPr="007B3DF6">
        <w:rPr>
          <w:rFonts w:ascii="Garamond" w:hAnsi="Garamond"/>
          <w:sz w:val="22"/>
          <w:szCs w:val="22"/>
        </w:rPr>
        <w:t>Informe a la Asamblea Nacional del Poder Popular, 2</w:t>
      </w:r>
      <w:r w:rsidRPr="007B3DF6">
        <w:rPr>
          <w:rFonts w:ascii="Garamond" w:hAnsi="Garamond"/>
          <w:sz w:val="22"/>
          <w:szCs w:val="22"/>
          <w:vertAlign w:val="superscript"/>
        </w:rPr>
        <w:t>o</w:t>
      </w:r>
      <w:r>
        <w:rPr>
          <w:rFonts w:ascii="Garamond" w:hAnsi="Garamond"/>
          <w:sz w:val="22"/>
          <w:szCs w:val="22"/>
        </w:rPr>
        <w:t xml:space="preserve"> peri</w:t>
      </w:r>
      <w:r w:rsidRPr="000871EC">
        <w:rPr>
          <w:rFonts w:ascii="Garamond" w:hAnsi="Garamond"/>
          <w:sz w:val="22"/>
          <w:szCs w:val="22"/>
        </w:rPr>
        <w:t>odo de sesiones, VIII Legislatura, sobre las Auditorías de gestión cooperadas, ejecutadas por la Contraloría General de la República a los recursos hídricos en la nación, Cuba, 2014, pp.</w:t>
      </w:r>
      <w:r>
        <w:rPr>
          <w:rFonts w:ascii="Garamond" w:hAnsi="Garamond"/>
          <w:sz w:val="22"/>
          <w:szCs w:val="22"/>
        </w:rPr>
        <w:t xml:space="preserve"> </w:t>
      </w:r>
      <w:r w:rsidRPr="000871EC">
        <w:rPr>
          <w:rFonts w:ascii="Garamond" w:hAnsi="Garamond"/>
          <w:sz w:val="22"/>
          <w:szCs w:val="22"/>
        </w:rPr>
        <w:t>3-54. Es considerado como el precedente en la nación de la práctica de la auditoría ambiental, luego de su aprobación en el Reglamento del 2010; Informe regional Auditoría Coordinada a los Recursos Hídricos, CONTEMA-OLACEFS, 2014, pp.</w:t>
      </w:r>
      <w:r>
        <w:rPr>
          <w:rFonts w:ascii="Garamond" w:hAnsi="Garamond"/>
          <w:sz w:val="22"/>
          <w:szCs w:val="22"/>
        </w:rPr>
        <w:t xml:space="preserve"> </w:t>
      </w:r>
      <w:r w:rsidRPr="000871EC">
        <w:rPr>
          <w:rFonts w:ascii="Garamond" w:hAnsi="Garamond"/>
          <w:sz w:val="22"/>
          <w:szCs w:val="22"/>
        </w:rPr>
        <w:t>37-40.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929" w:rsidRDefault="00841929" w:rsidP="00841929">
    <w:pPr>
      <w:pStyle w:val="Encabezado"/>
    </w:pPr>
    <w:r w:rsidRPr="00462F22">
      <w:rPr>
        <w:noProof/>
        <w:lang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lang w:eastAsia="es-MX"/>
      </w:rPr>
      <w:drawing>
        <wp:inline distT="0" distB="0" distL="0" distR="0">
          <wp:extent cx="727363" cy="312262"/>
          <wp:effectExtent l="0" t="0" r="0" b="0"/>
          <wp:docPr id="5"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841929" w:rsidRDefault="008419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4E0" w:rsidRDefault="002204E0">
    <w:pPr>
      <w:pStyle w:val="Encabezado"/>
    </w:pPr>
    <w:r>
      <w:tab/>
    </w:r>
    <w:r>
      <w:tab/>
    </w:r>
  </w:p>
  <w:p w:rsidR="002204E0" w:rsidRPr="005640B9" w:rsidRDefault="002204E0" w:rsidP="002204E0">
    <w:pPr>
      <w:pStyle w:val="AmicusPresentacin"/>
      <w:rPr>
        <w:rFonts w:ascii="Gabo Drive" w:hAnsi="Gabo Drive" w:cs="Gabo Drive"/>
        <w:color w:val="984806" w:themeColor="accent6" w:themeShade="80"/>
        <w:spacing w:val="12"/>
        <w:sz w:val="28"/>
        <w:szCs w:val="28"/>
        <w:lang w:val="es-MX"/>
      </w:rPr>
    </w:pPr>
    <w:r w:rsidRPr="005640B9">
      <w:rPr>
        <w:rFonts w:ascii="Gabo Drive" w:hAnsi="Gabo Drive" w:cs="Gabo Drive"/>
        <w:color w:val="984806" w:themeColor="accent6" w:themeShade="80"/>
        <w:spacing w:val="12"/>
        <w:sz w:val="28"/>
        <w:szCs w:val="28"/>
        <w:lang w:val="es-MX"/>
      </w:rPr>
      <w:t>AMICUS CURIAE</w:t>
    </w:r>
  </w:p>
  <w:p w:rsidR="002204E0" w:rsidRPr="005640B9" w:rsidRDefault="002204E0" w:rsidP="00B84752">
    <w:pPr>
      <w:pStyle w:val="AmicusPresentacin"/>
      <w:rPr>
        <w:rFonts w:cs="Garamond"/>
        <w:color w:val="555555"/>
        <w:position w:val="2"/>
        <w:sz w:val="20"/>
        <w:szCs w:val="20"/>
        <w:lang w:val="es-MX"/>
      </w:rPr>
    </w:pPr>
    <w:r>
      <w:rPr>
        <w:rFonts w:cs="Garamond"/>
        <w:color w:val="172751"/>
        <w:sz w:val="20"/>
        <w:szCs w:val="20"/>
        <w:lang w:val="es-MX"/>
      </w:rPr>
      <w:t>Vol. 1, Número 5</w:t>
    </w:r>
    <w:r w:rsidRPr="005640B9">
      <w:rPr>
        <w:rFonts w:cs="Garamond"/>
        <w:color w:val="172751"/>
        <w:sz w:val="20"/>
        <w:szCs w:val="20"/>
        <w:lang w:val="es-MX"/>
      </w:rPr>
      <w:t xml:space="preserve">, </w:t>
    </w:r>
    <w:r>
      <w:rPr>
        <w:rFonts w:cs="Garamond"/>
        <w:color w:val="172751"/>
        <w:sz w:val="20"/>
        <w:szCs w:val="20"/>
        <w:lang w:val="es-MX"/>
      </w:rPr>
      <w:t>Septiembre-Diciembre</w:t>
    </w:r>
    <w:r w:rsidR="00B84752">
      <w:rPr>
        <w:rFonts w:cs="Garamond"/>
        <w:color w:val="172751"/>
        <w:sz w:val="20"/>
        <w:szCs w:val="20"/>
        <w:lang w:val="es-MX"/>
      </w:rPr>
      <w:t xml:space="preserve"> 2015</w:t>
    </w:r>
    <w:r w:rsidRPr="005640B9">
      <w:rPr>
        <w:rFonts w:cs="Garamond"/>
        <w:color w:val="172751"/>
        <w:sz w:val="20"/>
        <w:szCs w:val="20"/>
        <w:lang w:val="es-MX"/>
      </w:rPr>
      <w:t xml:space="preserve">.  </w:t>
    </w:r>
    <w:r w:rsidR="00841929">
      <w:rPr>
        <w:rFonts w:cs="Garamond"/>
        <w:color w:val="172751"/>
        <w:sz w:val="20"/>
        <w:szCs w:val="20"/>
        <w:lang w:val="es-MX"/>
      </w:rPr>
      <w:t xml:space="preserve">                                   </w:t>
    </w:r>
    <w:r w:rsidR="00841929">
      <w:rPr>
        <w:rFonts w:cs="Garamond"/>
        <w:color w:val="555555"/>
        <w:position w:val="2"/>
        <w:sz w:val="20"/>
        <w:szCs w:val="20"/>
        <w:lang w:val="es-MX"/>
      </w:rPr>
      <w:t>Revista e</w:t>
    </w:r>
    <w:r w:rsidRPr="005640B9">
      <w:rPr>
        <w:rFonts w:cs="Garamond"/>
        <w:color w:val="555555"/>
        <w:position w:val="2"/>
        <w:sz w:val="20"/>
        <w:szCs w:val="20"/>
        <w:lang w:val="es-MX"/>
      </w:rPr>
      <w:t>lectrónica de la Facultad de Derecho</w:t>
    </w:r>
  </w:p>
  <w:p w:rsidR="002204E0" w:rsidRDefault="00841929">
    <w:pPr>
      <w:pStyle w:val="Encabezado"/>
    </w:pPr>
    <w:r w:rsidRPr="00841929">
      <w:rPr>
        <w:noProof/>
        <w:lang w:eastAsia="es-MX"/>
      </w:rPr>
      <w:drawing>
        <wp:inline distT="0" distB="0" distL="0" distR="0">
          <wp:extent cx="6332220" cy="42706"/>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8A72A6F8"/>
    <w:lvl w:ilvl="0">
      <w:start w:val="1"/>
      <w:numFmt w:val="decimal"/>
      <w:pStyle w:val="Listaconnmeros"/>
      <w:lvlText w:val="%1."/>
      <w:lvlJc w:val="left"/>
      <w:pPr>
        <w:tabs>
          <w:tab w:val="num" w:pos="360"/>
        </w:tabs>
        <w:ind w:left="360" w:hanging="360"/>
      </w:p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18F06DD"/>
    <w:multiLevelType w:val="hybridMultilevel"/>
    <w:tmpl w:val="DC5C4BE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
    <w:nsid w:val="063A7D14"/>
    <w:multiLevelType w:val="hybridMultilevel"/>
    <w:tmpl w:val="6298C4A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
    <w:nsid w:val="090A781E"/>
    <w:multiLevelType w:val="hybridMultilevel"/>
    <w:tmpl w:val="F3EA0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7D4565"/>
    <w:multiLevelType w:val="hybridMultilevel"/>
    <w:tmpl w:val="00725DB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nsid w:val="13D03438"/>
    <w:multiLevelType w:val="hybridMultilevel"/>
    <w:tmpl w:val="ECE6D10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
    <w:nsid w:val="16F60FD9"/>
    <w:multiLevelType w:val="hybridMultilevel"/>
    <w:tmpl w:val="4C5499C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nsid w:val="21240BB2"/>
    <w:multiLevelType w:val="hybridMultilevel"/>
    <w:tmpl w:val="BD64189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8">
    <w:nsid w:val="27D60451"/>
    <w:multiLevelType w:val="hybridMultilevel"/>
    <w:tmpl w:val="A9024C8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9">
    <w:nsid w:val="27F51C2F"/>
    <w:multiLevelType w:val="hybridMultilevel"/>
    <w:tmpl w:val="BA3282A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0">
    <w:nsid w:val="318D2258"/>
    <w:multiLevelType w:val="hybridMultilevel"/>
    <w:tmpl w:val="8A5C895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1">
    <w:nsid w:val="3B7C4D02"/>
    <w:multiLevelType w:val="hybridMultilevel"/>
    <w:tmpl w:val="00F65B7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
    <w:nsid w:val="4CF2267B"/>
    <w:multiLevelType w:val="hybridMultilevel"/>
    <w:tmpl w:val="D6609C0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3">
    <w:nsid w:val="4CF75CB8"/>
    <w:multiLevelType w:val="hybridMultilevel"/>
    <w:tmpl w:val="AFC2586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4">
    <w:nsid w:val="5A9E1893"/>
    <w:multiLevelType w:val="hybridMultilevel"/>
    <w:tmpl w:val="FEE8C29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
    <w:nsid w:val="5B7B3A9B"/>
    <w:multiLevelType w:val="hybridMultilevel"/>
    <w:tmpl w:val="FB44EC82"/>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6">
    <w:nsid w:val="5D443B06"/>
    <w:multiLevelType w:val="hybridMultilevel"/>
    <w:tmpl w:val="41908C0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nsid w:val="67AB6312"/>
    <w:multiLevelType w:val="hybridMultilevel"/>
    <w:tmpl w:val="E2F09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C1B1EDD"/>
    <w:multiLevelType w:val="hybridMultilevel"/>
    <w:tmpl w:val="81C85F5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nsid w:val="71E06651"/>
    <w:multiLevelType w:val="hybridMultilevel"/>
    <w:tmpl w:val="0010A7D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nsid w:val="73B35EFF"/>
    <w:multiLevelType w:val="hybridMultilevel"/>
    <w:tmpl w:val="2B96743C"/>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1">
    <w:nsid w:val="746649E7"/>
    <w:multiLevelType w:val="hybridMultilevel"/>
    <w:tmpl w:val="A43873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num w:numId="1">
    <w:abstractNumId w:val="0"/>
  </w:num>
  <w:num w:numId="2">
    <w:abstractNumId w:val="21"/>
  </w:num>
  <w:num w:numId="3">
    <w:abstractNumId w:val="7"/>
  </w:num>
  <w:num w:numId="4">
    <w:abstractNumId w:val="19"/>
  </w:num>
  <w:num w:numId="5">
    <w:abstractNumId w:val="8"/>
  </w:num>
  <w:num w:numId="6">
    <w:abstractNumId w:val="5"/>
  </w:num>
  <w:num w:numId="7">
    <w:abstractNumId w:val="4"/>
  </w:num>
  <w:num w:numId="8">
    <w:abstractNumId w:val="2"/>
  </w:num>
  <w:num w:numId="9">
    <w:abstractNumId w:val="3"/>
  </w:num>
  <w:num w:numId="10">
    <w:abstractNumId w:val="1"/>
  </w:num>
  <w:num w:numId="11">
    <w:abstractNumId w:val="12"/>
  </w:num>
  <w:num w:numId="12">
    <w:abstractNumId w:val="14"/>
  </w:num>
  <w:num w:numId="13">
    <w:abstractNumId w:val="10"/>
  </w:num>
  <w:num w:numId="14">
    <w:abstractNumId w:val="13"/>
  </w:num>
  <w:num w:numId="15">
    <w:abstractNumId w:val="15"/>
  </w:num>
  <w:num w:numId="16">
    <w:abstractNumId w:val="20"/>
  </w:num>
  <w:num w:numId="17">
    <w:abstractNumId w:val="6"/>
  </w:num>
  <w:num w:numId="18">
    <w:abstractNumId w:val="18"/>
  </w:num>
  <w:num w:numId="19">
    <w:abstractNumId w:val="17"/>
  </w:num>
  <w:num w:numId="20">
    <w:abstractNumId w:val="11"/>
  </w:num>
  <w:num w:numId="21">
    <w:abstractNumId w:val="9"/>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816"/>
    <w:rsid w:val="000008B9"/>
    <w:rsid w:val="00001215"/>
    <w:rsid w:val="000071A9"/>
    <w:rsid w:val="000224C5"/>
    <w:rsid w:val="00033653"/>
    <w:rsid w:val="00097AE2"/>
    <w:rsid w:val="000A13F1"/>
    <w:rsid w:val="000B21FB"/>
    <w:rsid w:val="000C4966"/>
    <w:rsid w:val="000D3DF8"/>
    <w:rsid w:val="00132F39"/>
    <w:rsid w:val="00163361"/>
    <w:rsid w:val="0017378C"/>
    <w:rsid w:val="00182226"/>
    <w:rsid w:val="00183067"/>
    <w:rsid w:val="001A02C8"/>
    <w:rsid w:val="001B5886"/>
    <w:rsid w:val="001C5C1E"/>
    <w:rsid w:val="002052D0"/>
    <w:rsid w:val="002107D2"/>
    <w:rsid w:val="002204E0"/>
    <w:rsid w:val="00225BB8"/>
    <w:rsid w:val="00227457"/>
    <w:rsid w:val="00230542"/>
    <w:rsid w:val="002602AC"/>
    <w:rsid w:val="0026625B"/>
    <w:rsid w:val="00281BE4"/>
    <w:rsid w:val="002A7F54"/>
    <w:rsid w:val="002C1993"/>
    <w:rsid w:val="002C3FD1"/>
    <w:rsid w:val="002D1585"/>
    <w:rsid w:val="002E4097"/>
    <w:rsid w:val="003003BA"/>
    <w:rsid w:val="00315F8A"/>
    <w:rsid w:val="0032395B"/>
    <w:rsid w:val="00327357"/>
    <w:rsid w:val="00334C65"/>
    <w:rsid w:val="00337F73"/>
    <w:rsid w:val="003519C2"/>
    <w:rsid w:val="0037294B"/>
    <w:rsid w:val="00377456"/>
    <w:rsid w:val="00380627"/>
    <w:rsid w:val="003A1686"/>
    <w:rsid w:val="003A59D2"/>
    <w:rsid w:val="003D0E76"/>
    <w:rsid w:val="003D162F"/>
    <w:rsid w:val="003D45D4"/>
    <w:rsid w:val="00436378"/>
    <w:rsid w:val="00442AFD"/>
    <w:rsid w:val="00447DE3"/>
    <w:rsid w:val="00450C40"/>
    <w:rsid w:val="00453DBA"/>
    <w:rsid w:val="00462F22"/>
    <w:rsid w:val="004721DB"/>
    <w:rsid w:val="004B7720"/>
    <w:rsid w:val="004D4814"/>
    <w:rsid w:val="004E5D64"/>
    <w:rsid w:val="004E71DA"/>
    <w:rsid w:val="004F650A"/>
    <w:rsid w:val="0050101F"/>
    <w:rsid w:val="00530740"/>
    <w:rsid w:val="005307B7"/>
    <w:rsid w:val="005312C9"/>
    <w:rsid w:val="0053651F"/>
    <w:rsid w:val="00562B90"/>
    <w:rsid w:val="00597A51"/>
    <w:rsid w:val="005A42AA"/>
    <w:rsid w:val="005C4B41"/>
    <w:rsid w:val="005D14A8"/>
    <w:rsid w:val="005D5FF7"/>
    <w:rsid w:val="005F02EC"/>
    <w:rsid w:val="005F638B"/>
    <w:rsid w:val="005F6ACB"/>
    <w:rsid w:val="00614275"/>
    <w:rsid w:val="006205DF"/>
    <w:rsid w:val="0062081D"/>
    <w:rsid w:val="00632B20"/>
    <w:rsid w:val="00642EAC"/>
    <w:rsid w:val="00654824"/>
    <w:rsid w:val="0066479D"/>
    <w:rsid w:val="00690169"/>
    <w:rsid w:val="00691D59"/>
    <w:rsid w:val="006921A8"/>
    <w:rsid w:val="006B350C"/>
    <w:rsid w:val="006C067A"/>
    <w:rsid w:val="006C5A66"/>
    <w:rsid w:val="006D58E8"/>
    <w:rsid w:val="006D78CF"/>
    <w:rsid w:val="006E449D"/>
    <w:rsid w:val="006F7895"/>
    <w:rsid w:val="0071642C"/>
    <w:rsid w:val="007972E9"/>
    <w:rsid w:val="007C4B73"/>
    <w:rsid w:val="007E1330"/>
    <w:rsid w:val="007E3DE3"/>
    <w:rsid w:val="007F53DF"/>
    <w:rsid w:val="00805839"/>
    <w:rsid w:val="00805FBE"/>
    <w:rsid w:val="00807542"/>
    <w:rsid w:val="00816197"/>
    <w:rsid w:val="008208F0"/>
    <w:rsid w:val="00820D6B"/>
    <w:rsid w:val="0082492D"/>
    <w:rsid w:val="00825F5A"/>
    <w:rsid w:val="00831C9A"/>
    <w:rsid w:val="00832875"/>
    <w:rsid w:val="008329E8"/>
    <w:rsid w:val="00840701"/>
    <w:rsid w:val="00841929"/>
    <w:rsid w:val="0085568A"/>
    <w:rsid w:val="00863259"/>
    <w:rsid w:val="00866CAA"/>
    <w:rsid w:val="008978BB"/>
    <w:rsid w:val="008A41B7"/>
    <w:rsid w:val="008C2430"/>
    <w:rsid w:val="008C2927"/>
    <w:rsid w:val="008C7BAB"/>
    <w:rsid w:val="008D277E"/>
    <w:rsid w:val="008D624B"/>
    <w:rsid w:val="008F40A4"/>
    <w:rsid w:val="009559A2"/>
    <w:rsid w:val="00955AE3"/>
    <w:rsid w:val="00973843"/>
    <w:rsid w:val="00977798"/>
    <w:rsid w:val="009B3285"/>
    <w:rsid w:val="009E3816"/>
    <w:rsid w:val="009F5A60"/>
    <w:rsid w:val="00A0136B"/>
    <w:rsid w:val="00A609CB"/>
    <w:rsid w:val="00A76984"/>
    <w:rsid w:val="00A81FC8"/>
    <w:rsid w:val="00A8323D"/>
    <w:rsid w:val="00A83C0E"/>
    <w:rsid w:val="00A87631"/>
    <w:rsid w:val="00A91FDE"/>
    <w:rsid w:val="00AA23DA"/>
    <w:rsid w:val="00AB0CE8"/>
    <w:rsid w:val="00AB2FDA"/>
    <w:rsid w:val="00AB5D8F"/>
    <w:rsid w:val="00AB6C05"/>
    <w:rsid w:val="00AF065A"/>
    <w:rsid w:val="00B1088C"/>
    <w:rsid w:val="00B45C6D"/>
    <w:rsid w:val="00B55999"/>
    <w:rsid w:val="00B568D0"/>
    <w:rsid w:val="00B724D5"/>
    <w:rsid w:val="00B75553"/>
    <w:rsid w:val="00B84752"/>
    <w:rsid w:val="00B92AD2"/>
    <w:rsid w:val="00B94ED3"/>
    <w:rsid w:val="00BA2B8B"/>
    <w:rsid w:val="00BA7834"/>
    <w:rsid w:val="00BE4BE6"/>
    <w:rsid w:val="00BE50AA"/>
    <w:rsid w:val="00BF6F78"/>
    <w:rsid w:val="00C07E4F"/>
    <w:rsid w:val="00C15E94"/>
    <w:rsid w:val="00C21BB2"/>
    <w:rsid w:val="00C23F93"/>
    <w:rsid w:val="00C350C1"/>
    <w:rsid w:val="00C37DAC"/>
    <w:rsid w:val="00C52D10"/>
    <w:rsid w:val="00CA2167"/>
    <w:rsid w:val="00CA762D"/>
    <w:rsid w:val="00CB47AC"/>
    <w:rsid w:val="00CC7E7C"/>
    <w:rsid w:val="00CE41E8"/>
    <w:rsid w:val="00D078B2"/>
    <w:rsid w:val="00D37536"/>
    <w:rsid w:val="00D52BF7"/>
    <w:rsid w:val="00D94818"/>
    <w:rsid w:val="00D95EE4"/>
    <w:rsid w:val="00DA05DE"/>
    <w:rsid w:val="00DC1C70"/>
    <w:rsid w:val="00DC2B32"/>
    <w:rsid w:val="00DC524A"/>
    <w:rsid w:val="00DD3FC1"/>
    <w:rsid w:val="00DD5E96"/>
    <w:rsid w:val="00DE153A"/>
    <w:rsid w:val="00DF39CA"/>
    <w:rsid w:val="00DF5A18"/>
    <w:rsid w:val="00E27D1B"/>
    <w:rsid w:val="00E43BE9"/>
    <w:rsid w:val="00E914AE"/>
    <w:rsid w:val="00ED0DEC"/>
    <w:rsid w:val="00EE23AF"/>
    <w:rsid w:val="00F207AC"/>
    <w:rsid w:val="00F614EF"/>
    <w:rsid w:val="00F679AC"/>
    <w:rsid w:val="00F73E43"/>
    <w:rsid w:val="00F9235C"/>
    <w:rsid w:val="00FB3D36"/>
    <w:rsid w:val="00FC56A6"/>
    <w:rsid w:val="00FF2ADD"/>
    <w:rsid w:val="00FF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nhideWhenUsed/>
    <w:qFormat/>
    <w:rsid w:val="003A59D2"/>
    <w:pPr>
      <w:keepNext/>
      <w:keepLines/>
      <w:spacing w:before="200" w:after="0"/>
      <w:jc w:val="left"/>
      <w:outlineLvl w:val="1"/>
    </w:pPr>
    <w:rPr>
      <w:rFonts w:ascii="Garamond" w:hAnsi="Garamond"/>
      <w:b/>
      <w:bCs/>
      <w:i w:val="0"/>
      <w:color w:val="auto"/>
      <w:szCs w:val="26"/>
    </w:rPr>
  </w:style>
  <w:style w:type="paragraph" w:styleId="Ttulo3">
    <w:name w:val="heading 3"/>
    <w:basedOn w:val="Normal"/>
    <w:next w:val="Normal"/>
    <w:link w:val="Ttulo3Car"/>
    <w:qFormat/>
    <w:rsid w:val="002204E0"/>
    <w:pPr>
      <w:keepNext/>
      <w:spacing w:before="240" w:after="60" w:line="240" w:lineRule="auto"/>
      <w:jc w:val="left"/>
      <w:outlineLvl w:val="2"/>
    </w:pPr>
    <w:rPr>
      <w:rFonts w:ascii="Arial" w:eastAsia="Times New Roman" w:hAnsi="Arial" w:cs="Times New Roman"/>
      <w:b/>
      <w:bCs/>
      <w:sz w:val="26"/>
      <w:szCs w:val="26"/>
      <w:lang w:val="es-ES_tradnl" w:eastAsia="es-ES"/>
    </w:rPr>
  </w:style>
  <w:style w:type="paragraph" w:styleId="Ttulo4">
    <w:name w:val="heading 4"/>
    <w:basedOn w:val="Normal"/>
    <w:next w:val="Normal"/>
    <w:link w:val="Ttulo4Car"/>
    <w:qFormat/>
    <w:rsid w:val="002204E0"/>
    <w:pPr>
      <w:keepNext/>
      <w:spacing w:before="240" w:after="60" w:line="240" w:lineRule="auto"/>
      <w:jc w:val="left"/>
      <w:outlineLvl w:val="3"/>
    </w:pPr>
    <w:rPr>
      <w:rFonts w:ascii="Times New Roman" w:eastAsia="Times New Roman" w:hAnsi="Times New Roman" w:cs="Times New Roman"/>
      <w:b/>
      <w:bCs/>
      <w:sz w:val="28"/>
      <w:szCs w:val="28"/>
      <w:lang w:val="es-ES_tradnl" w:eastAsia="es-ES"/>
    </w:rPr>
  </w:style>
  <w:style w:type="paragraph" w:styleId="Ttulo5">
    <w:name w:val="heading 5"/>
    <w:basedOn w:val="Normal"/>
    <w:next w:val="Normal"/>
    <w:link w:val="Ttulo5Car"/>
    <w:qFormat/>
    <w:rsid w:val="002204E0"/>
    <w:pPr>
      <w:spacing w:before="240" w:after="60" w:line="240" w:lineRule="auto"/>
      <w:jc w:val="left"/>
      <w:outlineLvl w:val="4"/>
    </w:pPr>
    <w:rPr>
      <w:rFonts w:ascii="Times New Roman" w:eastAsia="Batang" w:hAnsi="Times New Roman" w:cs="Times New Roman"/>
      <w:b/>
      <w:bCs/>
      <w:i/>
      <w:iCs/>
      <w:sz w:val="26"/>
      <w:szCs w:val="26"/>
      <w:lang w:val="es-ES_tradnl" w:eastAsia="es-ES_tradnl"/>
    </w:rPr>
  </w:style>
  <w:style w:type="paragraph" w:styleId="Ttulo6">
    <w:name w:val="heading 6"/>
    <w:basedOn w:val="Normal"/>
    <w:next w:val="Normal"/>
    <w:link w:val="Ttulo6Car"/>
    <w:qFormat/>
    <w:rsid w:val="002204E0"/>
    <w:pPr>
      <w:keepNext/>
      <w:keepLines/>
      <w:spacing w:before="200" w:after="0" w:line="240" w:lineRule="auto"/>
      <w:jc w:val="left"/>
      <w:outlineLvl w:val="5"/>
    </w:pPr>
    <w:rPr>
      <w:rFonts w:ascii="Cambria" w:eastAsia="Times New Roman" w:hAnsi="Cambria" w:cs="Times New Roman"/>
      <w:i/>
      <w:iCs/>
      <w:color w:val="243F60"/>
      <w:sz w:val="20"/>
      <w:szCs w:val="20"/>
      <w:lang w:val="es-ES_tradnl"/>
    </w:rPr>
  </w:style>
  <w:style w:type="paragraph" w:styleId="Ttulo9">
    <w:name w:val="heading 9"/>
    <w:basedOn w:val="Normal"/>
    <w:next w:val="Normal"/>
    <w:link w:val="Ttulo9Car"/>
    <w:qFormat/>
    <w:rsid w:val="002204E0"/>
    <w:pPr>
      <w:spacing w:before="240" w:after="60" w:line="240" w:lineRule="auto"/>
      <w:jc w:val="left"/>
      <w:outlineLvl w:val="8"/>
    </w:pPr>
    <w:rPr>
      <w:rFonts w:ascii="Arial" w:eastAsia="Times New Roman" w:hAnsi="Arial" w:cs="Times New Roman"/>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micus titulo Car"/>
    <w:basedOn w:val="Fuentedeprrafopredeter"/>
    <w:link w:val="Ttulo1"/>
    <w:rsid w:val="008C7BAB"/>
    <w:rPr>
      <w:rFonts w:ascii="Garamond" w:eastAsiaTheme="majorEastAsia" w:hAnsi="Garamond" w:cstheme="majorBidi"/>
      <w:b/>
      <w:bCs/>
      <w:sz w:val="28"/>
      <w:szCs w:val="28"/>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aliases w:val="Subtitulos Amicus Car"/>
    <w:basedOn w:val="Fuentedeprrafopredeter"/>
    <w:link w:val="Ttulo2"/>
    <w:rsid w:val="003A59D2"/>
    <w:rPr>
      <w:rFonts w:ascii="Garamond" w:eastAsiaTheme="majorEastAsia" w:hAnsi="Garamond" w:cstheme="majorBidi"/>
      <w:b/>
      <w:bCs/>
      <w:iCs/>
      <w:spacing w:val="15"/>
      <w:sz w:val="24"/>
      <w:szCs w:val="26"/>
    </w:rPr>
  </w:style>
  <w:style w:type="character" w:customStyle="1" w:styleId="Ttulo3Car">
    <w:name w:val="Título 3 Car"/>
    <w:basedOn w:val="Fuentedeprrafopredeter"/>
    <w:link w:val="Ttulo3"/>
    <w:rsid w:val="002204E0"/>
    <w:rPr>
      <w:rFonts w:ascii="Arial" w:eastAsia="Times New Roman" w:hAnsi="Arial" w:cs="Times New Roman"/>
      <w:b/>
      <w:bCs/>
      <w:sz w:val="26"/>
      <w:szCs w:val="26"/>
      <w:lang w:val="es-ES_tradnl" w:eastAsia="es-ES"/>
    </w:rPr>
  </w:style>
  <w:style w:type="character" w:customStyle="1" w:styleId="Ttulo4Car">
    <w:name w:val="Título 4 Car"/>
    <w:basedOn w:val="Fuentedeprrafopredeter"/>
    <w:link w:val="Ttulo4"/>
    <w:rsid w:val="002204E0"/>
    <w:rPr>
      <w:rFonts w:ascii="Times New Roman" w:eastAsia="Times New Roman" w:hAnsi="Times New Roman" w:cs="Times New Roman"/>
      <w:b/>
      <w:bCs/>
      <w:sz w:val="28"/>
      <w:szCs w:val="28"/>
      <w:lang w:val="es-ES_tradnl" w:eastAsia="es-ES"/>
    </w:rPr>
  </w:style>
  <w:style w:type="character" w:customStyle="1" w:styleId="Ttulo5Car">
    <w:name w:val="Título 5 Car"/>
    <w:basedOn w:val="Fuentedeprrafopredeter"/>
    <w:link w:val="Ttulo5"/>
    <w:rsid w:val="002204E0"/>
    <w:rPr>
      <w:rFonts w:ascii="Times New Roman" w:eastAsia="Batang" w:hAnsi="Times New Roman" w:cs="Times New Roman"/>
      <w:b/>
      <w:bCs/>
      <w:i/>
      <w:iCs/>
      <w:sz w:val="26"/>
      <w:szCs w:val="26"/>
      <w:lang w:val="es-ES_tradnl" w:eastAsia="es-ES_tradnl"/>
    </w:rPr>
  </w:style>
  <w:style w:type="character" w:customStyle="1" w:styleId="Ttulo6Car">
    <w:name w:val="Título 6 Car"/>
    <w:basedOn w:val="Fuentedeprrafopredeter"/>
    <w:link w:val="Ttulo6"/>
    <w:rsid w:val="002204E0"/>
    <w:rPr>
      <w:rFonts w:ascii="Cambria" w:eastAsia="Times New Roman" w:hAnsi="Cambria" w:cs="Times New Roman"/>
      <w:i/>
      <w:iCs/>
      <w:color w:val="243F60"/>
      <w:sz w:val="20"/>
      <w:szCs w:val="20"/>
      <w:lang w:val="es-ES_tradnl"/>
    </w:rPr>
  </w:style>
  <w:style w:type="character" w:customStyle="1" w:styleId="Ttulo9Car">
    <w:name w:val="Título 9 Car"/>
    <w:basedOn w:val="Fuentedeprrafopredeter"/>
    <w:link w:val="Ttulo9"/>
    <w:rsid w:val="002204E0"/>
    <w:rPr>
      <w:rFonts w:ascii="Arial" w:eastAsia="Times New Roman" w:hAnsi="Arial" w:cs="Times New Roman"/>
      <w:sz w:val="20"/>
      <w:szCs w:val="20"/>
      <w:lang w:val="es-ES_tradnl" w:eastAsia="es-ES_tradnl"/>
    </w:rPr>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paragraph" w:styleId="Textoindependiente3">
    <w:name w:val="Body Text 3"/>
    <w:link w:val="Textoindependiente3Car"/>
    <w:unhideWhenUsed/>
    <w:rsid w:val="0066479D"/>
    <w:pPr>
      <w:spacing w:after="0" w:line="240" w:lineRule="auto"/>
    </w:pPr>
    <w:rPr>
      <w:rFonts w:ascii="Tw Cen MT" w:eastAsia="Times New Roman" w:hAnsi="Tw Cen MT" w:cs="Times New Roman"/>
      <w:color w:val="000000"/>
      <w:kern w:val="28"/>
      <w:lang w:eastAsia="es-MX"/>
    </w:rPr>
  </w:style>
  <w:style w:type="character" w:customStyle="1" w:styleId="Textoindependiente3Car">
    <w:name w:val="Texto independiente 3 Car"/>
    <w:basedOn w:val="Fuentedeprrafopredeter"/>
    <w:link w:val="Textoindependiente3"/>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nhideWhenUsed/>
    <w:rsid w:val="003A59D2"/>
    <w:rPr>
      <w:vertAlign w:val="superscript"/>
    </w:rPr>
  </w:style>
  <w:style w:type="character" w:styleId="Hipervnculo">
    <w:name w:val="Hyperlink"/>
    <w:basedOn w:val="Fuentedeprrafopredeter"/>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link w:val="NormalWebCar"/>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WebCar">
    <w:name w:val="Normal (Web) Car"/>
    <w:link w:val="NormalWeb"/>
    <w:rsid w:val="002204E0"/>
    <w:rPr>
      <w:rFonts w:ascii="Times New Roman" w:eastAsia="Times New Roman" w:hAnsi="Times New Roman" w:cs="Times New Roman"/>
      <w:sz w:val="24"/>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styleId="HTMLconformatoprevio">
    <w:name w:val="HTML Preformatted"/>
    <w:basedOn w:val="Normal"/>
    <w:link w:val="HTMLconformatoprevioCar"/>
    <w:uiPriority w:val="99"/>
    <w:unhideWhenUsed/>
    <w:rsid w:val="00F614EF"/>
    <w:pPr>
      <w:spacing w:after="0" w:line="240" w:lineRule="auto"/>
      <w:jc w:val="left"/>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614EF"/>
    <w:rPr>
      <w:rFonts w:ascii="Consolas" w:hAnsi="Consolas" w:cs="Consolas"/>
      <w:sz w:val="20"/>
      <w:szCs w:val="20"/>
    </w:rPr>
  </w:style>
  <w:style w:type="character" w:customStyle="1" w:styleId="A1">
    <w:name w:val="A1"/>
    <w:uiPriority w:val="99"/>
    <w:rsid w:val="003003BA"/>
    <w:rPr>
      <w:rFonts w:cs="AkzidenzGroteskBE-Regular"/>
      <w:color w:val="000000"/>
      <w:sz w:val="17"/>
      <w:szCs w:val="17"/>
    </w:rPr>
  </w:style>
  <w:style w:type="paragraph" w:customStyle="1" w:styleId="Pa3">
    <w:name w:val="Pa3"/>
    <w:basedOn w:val="Default"/>
    <w:next w:val="Default"/>
    <w:uiPriority w:val="99"/>
    <w:rsid w:val="003003BA"/>
    <w:pPr>
      <w:spacing w:line="240" w:lineRule="atLeast"/>
    </w:pPr>
    <w:rPr>
      <w:rFonts w:ascii="AkzidenzGroteskBE-Regular" w:eastAsia="Calibri" w:hAnsi="AkzidenzGroteskBE-Regular" w:cs="Times New Roman"/>
      <w:color w:val="auto"/>
      <w:lang w:val="es-ES"/>
    </w:rPr>
  </w:style>
  <w:style w:type="character" w:customStyle="1" w:styleId="A0">
    <w:name w:val="A0"/>
    <w:uiPriority w:val="99"/>
    <w:rsid w:val="003003BA"/>
    <w:rPr>
      <w:rFonts w:cs="AkzidenzGroteskBE-Regular"/>
      <w:color w:val="000000"/>
      <w:sz w:val="18"/>
      <w:szCs w:val="18"/>
    </w:rPr>
  </w:style>
  <w:style w:type="character" w:customStyle="1" w:styleId="A4">
    <w:name w:val="A4"/>
    <w:rsid w:val="003003BA"/>
    <w:rPr>
      <w:rFonts w:cs="AkzidenzGroteskBE-Regular"/>
      <w:color w:val="000000"/>
      <w:sz w:val="20"/>
      <w:szCs w:val="20"/>
    </w:rPr>
  </w:style>
  <w:style w:type="character" w:customStyle="1" w:styleId="A9">
    <w:name w:val="A9"/>
    <w:uiPriority w:val="99"/>
    <w:rsid w:val="003003BA"/>
    <w:rPr>
      <w:rFonts w:cs="AkzidenzGroteskBE-Regular"/>
      <w:color w:val="000000"/>
      <w:sz w:val="16"/>
      <w:szCs w:val="16"/>
    </w:rPr>
  </w:style>
  <w:style w:type="paragraph" w:styleId="Citadestacada">
    <w:name w:val="Intense Quote"/>
    <w:basedOn w:val="Normal"/>
    <w:next w:val="Normal"/>
    <w:link w:val="CitadestacadaCar"/>
    <w:uiPriority w:val="30"/>
    <w:qFormat/>
    <w:rsid w:val="003003BA"/>
    <w:pPr>
      <w:pBdr>
        <w:bottom w:val="single" w:sz="4" w:space="4" w:color="4F81BD"/>
      </w:pBdr>
      <w:spacing w:before="200" w:after="280"/>
      <w:ind w:left="936" w:right="936"/>
      <w:jc w:val="left"/>
    </w:pPr>
    <w:rPr>
      <w:rFonts w:ascii="Calibri" w:eastAsia="Calibri" w:hAnsi="Calibri" w:cs="Times New Roman"/>
      <w:b/>
      <w:bCs/>
      <w:i/>
      <w:iCs/>
      <w:color w:val="4F81BD"/>
      <w:sz w:val="22"/>
      <w:lang w:val="es-ES"/>
    </w:rPr>
  </w:style>
  <w:style w:type="character" w:customStyle="1" w:styleId="CitadestacadaCar">
    <w:name w:val="Cita destacada Car"/>
    <w:basedOn w:val="Fuentedeprrafopredeter"/>
    <w:link w:val="Citadestacada"/>
    <w:uiPriority w:val="30"/>
    <w:rsid w:val="003003BA"/>
    <w:rPr>
      <w:rFonts w:ascii="Calibri" w:eastAsia="Calibri" w:hAnsi="Calibri" w:cs="Times New Roman"/>
      <w:b/>
      <w:bCs/>
      <w:i/>
      <w:iCs/>
      <w:color w:val="4F81BD"/>
      <w:lang w:val="es-ES"/>
    </w:rPr>
  </w:style>
  <w:style w:type="character" w:customStyle="1" w:styleId="arnegro141">
    <w:name w:val="arnegro141"/>
    <w:basedOn w:val="Fuentedeprrafopredeter"/>
    <w:rsid w:val="003003BA"/>
    <w:rPr>
      <w:rFonts w:ascii="Arial" w:hAnsi="Arial" w:cs="Arial" w:hint="default"/>
      <w:color w:val="000000"/>
      <w:sz w:val="21"/>
      <w:szCs w:val="21"/>
    </w:rPr>
  </w:style>
  <w:style w:type="paragraph" w:customStyle="1" w:styleId="1">
    <w:name w:val="1"/>
    <w:basedOn w:val="Normal"/>
    <w:next w:val="Normal"/>
    <w:uiPriority w:val="10"/>
    <w:qFormat/>
    <w:rsid w:val="003003BA"/>
    <w:pPr>
      <w:pBdr>
        <w:bottom w:val="single" w:sz="8" w:space="4" w:color="4F81BD"/>
      </w:pBdr>
      <w:spacing w:after="300" w:line="240" w:lineRule="auto"/>
      <w:contextualSpacing/>
      <w:jc w:val="left"/>
    </w:pPr>
    <w:rPr>
      <w:rFonts w:ascii="Cambria" w:eastAsia="Times New Roman" w:hAnsi="Cambria" w:cs="Times New Roman"/>
      <w:color w:val="17365D"/>
      <w:spacing w:val="5"/>
      <w:kern w:val="28"/>
      <w:sz w:val="52"/>
      <w:szCs w:val="52"/>
      <w:lang w:val="es-ES"/>
    </w:rPr>
  </w:style>
  <w:style w:type="character" w:customStyle="1" w:styleId="TtuloCar">
    <w:name w:val="Título Car"/>
    <w:basedOn w:val="Fuentedeprrafopredeter"/>
    <w:link w:val="Ttulo"/>
    <w:uiPriority w:val="10"/>
    <w:rsid w:val="003003BA"/>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3003BA"/>
    <w:pPr>
      <w:spacing w:after="0" w:line="240" w:lineRule="auto"/>
      <w:contextualSpacing/>
      <w:jc w:val="left"/>
    </w:pPr>
    <w:rPr>
      <w:rFonts w:ascii="Cambria" w:eastAsia="Times New Roman" w:hAnsi="Cambria" w:cs="Times New Roman"/>
      <w:color w:val="17365D"/>
      <w:spacing w:val="5"/>
      <w:kern w:val="28"/>
      <w:sz w:val="52"/>
      <w:szCs w:val="52"/>
    </w:rPr>
  </w:style>
  <w:style w:type="character" w:styleId="nfasisintenso">
    <w:name w:val="Intense Emphasis"/>
    <w:basedOn w:val="Fuentedeprrafopredeter"/>
    <w:uiPriority w:val="21"/>
    <w:qFormat/>
    <w:rsid w:val="003003BA"/>
    <w:rPr>
      <w:b/>
      <w:bCs/>
      <w:i/>
      <w:iCs/>
      <w:color w:val="4F81BD"/>
    </w:rPr>
  </w:style>
  <w:style w:type="character" w:styleId="Nmerodepgina">
    <w:name w:val="page number"/>
    <w:basedOn w:val="Fuentedeprrafopredeter"/>
    <w:unhideWhenUsed/>
    <w:rsid w:val="003003BA"/>
    <w:rPr>
      <w:rFonts w:eastAsia="Times New Roman" w:cs="Times New Roman"/>
      <w:bCs w:val="0"/>
      <w:iCs w:val="0"/>
      <w:szCs w:val="22"/>
      <w:lang w:val="es-ES"/>
    </w:rPr>
  </w:style>
  <w:style w:type="character" w:styleId="nfasis">
    <w:name w:val="Emphasis"/>
    <w:basedOn w:val="Fuentedeprrafopredeter"/>
    <w:qFormat/>
    <w:rsid w:val="003003BA"/>
    <w:rPr>
      <w:b/>
      <w:bCs/>
      <w:i w:val="0"/>
      <w:iCs w:val="0"/>
    </w:rPr>
  </w:style>
  <w:style w:type="character" w:customStyle="1" w:styleId="ft">
    <w:name w:val="ft"/>
    <w:basedOn w:val="Fuentedeprrafopredeter"/>
    <w:rsid w:val="003003BA"/>
  </w:style>
  <w:style w:type="character" w:customStyle="1" w:styleId="googqs-tidbit-0">
    <w:name w:val="goog_qs-tidbit-0"/>
    <w:basedOn w:val="Fuentedeprrafopredeter"/>
    <w:rsid w:val="003003BA"/>
  </w:style>
  <w:style w:type="character" w:styleId="Textoennegrita">
    <w:name w:val="Strong"/>
    <w:basedOn w:val="Fuentedeprrafopredeter"/>
    <w:uiPriority w:val="22"/>
    <w:qFormat/>
    <w:rsid w:val="003003BA"/>
    <w:rPr>
      <w:b/>
      <w:bCs/>
    </w:rPr>
  </w:style>
  <w:style w:type="character" w:customStyle="1" w:styleId="itemcategory">
    <w:name w:val="itemcategory"/>
    <w:basedOn w:val="Fuentedeprrafopredeter"/>
    <w:rsid w:val="003003BA"/>
  </w:style>
  <w:style w:type="character" w:customStyle="1" w:styleId="itemauthor">
    <w:name w:val="itemauthor"/>
    <w:basedOn w:val="Fuentedeprrafopredeter"/>
    <w:rsid w:val="003003BA"/>
  </w:style>
  <w:style w:type="character" w:customStyle="1" w:styleId="itemcommentslinktop">
    <w:name w:val="itemcommentslinktop"/>
    <w:basedOn w:val="Fuentedeprrafopredeter"/>
    <w:rsid w:val="003003BA"/>
  </w:style>
  <w:style w:type="character" w:customStyle="1" w:styleId="itemimage">
    <w:name w:val="itemimage"/>
    <w:basedOn w:val="Fuentedeprrafopredeter"/>
    <w:rsid w:val="003003BA"/>
  </w:style>
  <w:style w:type="character" w:customStyle="1" w:styleId="trecepixnegro">
    <w:name w:val="trecepixnegro"/>
    <w:basedOn w:val="Fuentedeprrafopredeter"/>
    <w:rsid w:val="003003BA"/>
  </w:style>
  <w:style w:type="character" w:customStyle="1" w:styleId="ntcuerponota">
    <w:name w:val="ntcuerponota"/>
    <w:basedOn w:val="Fuentedeprrafopredeter"/>
    <w:rsid w:val="003003BA"/>
  </w:style>
  <w:style w:type="character" w:customStyle="1" w:styleId="Refdenotaalpie1">
    <w:name w:val="Ref. de nota al pie1"/>
    <w:uiPriority w:val="99"/>
    <w:rsid w:val="003003BA"/>
    <w:rPr>
      <w:color w:val="000000"/>
    </w:rPr>
  </w:style>
  <w:style w:type="character" w:customStyle="1" w:styleId="contenido">
    <w:name w:val="contenido"/>
    <w:basedOn w:val="Fuentedeprrafopredeter"/>
    <w:rsid w:val="003003BA"/>
  </w:style>
  <w:style w:type="character" w:customStyle="1" w:styleId="titular1">
    <w:name w:val="titular1"/>
    <w:basedOn w:val="Fuentedeprrafopredeter"/>
    <w:rsid w:val="003003BA"/>
  </w:style>
  <w:style w:type="character" w:customStyle="1" w:styleId="longdesc">
    <w:name w:val="long_desc"/>
    <w:basedOn w:val="Fuentedeprrafopredeter"/>
    <w:rsid w:val="003003BA"/>
  </w:style>
  <w:style w:type="character" w:customStyle="1" w:styleId="TtuloCar1">
    <w:name w:val="Título Car1"/>
    <w:basedOn w:val="Fuentedeprrafopredeter"/>
    <w:uiPriority w:val="10"/>
    <w:rsid w:val="003003BA"/>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uiPriority w:val="10"/>
    <w:rsid w:val="003003BA"/>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3003BA"/>
    <w:rPr>
      <w:sz w:val="16"/>
      <w:szCs w:val="16"/>
    </w:rPr>
  </w:style>
  <w:style w:type="paragraph" w:styleId="Textocomentario">
    <w:name w:val="annotation text"/>
    <w:basedOn w:val="Normal"/>
    <w:link w:val="TextocomentarioCar"/>
    <w:uiPriority w:val="99"/>
    <w:semiHidden/>
    <w:unhideWhenUsed/>
    <w:rsid w:val="003003BA"/>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3003BA"/>
    <w:rPr>
      <w:sz w:val="20"/>
      <w:szCs w:val="20"/>
    </w:rPr>
  </w:style>
  <w:style w:type="paragraph" w:styleId="Asuntodelcomentario">
    <w:name w:val="annotation subject"/>
    <w:basedOn w:val="Textocomentario"/>
    <w:next w:val="Textocomentario"/>
    <w:link w:val="AsuntodelcomentarioCar"/>
    <w:uiPriority w:val="99"/>
    <w:semiHidden/>
    <w:unhideWhenUsed/>
    <w:rsid w:val="003003BA"/>
    <w:rPr>
      <w:b/>
      <w:bCs/>
    </w:rPr>
  </w:style>
  <w:style w:type="character" w:customStyle="1" w:styleId="AsuntodelcomentarioCar">
    <w:name w:val="Asunto del comentario Car"/>
    <w:basedOn w:val="TextocomentarioCar"/>
    <w:link w:val="Asuntodelcomentario"/>
    <w:uiPriority w:val="99"/>
    <w:semiHidden/>
    <w:rsid w:val="003003BA"/>
    <w:rPr>
      <w:b/>
      <w:bCs/>
      <w:sz w:val="20"/>
      <w:szCs w:val="20"/>
    </w:rPr>
  </w:style>
  <w:style w:type="paragraph" w:styleId="Epgrafe">
    <w:name w:val="caption"/>
    <w:aliases w:val="Title"/>
    <w:basedOn w:val="Normal"/>
    <w:next w:val="Ttulo"/>
    <w:link w:val="EpgrafeCar"/>
    <w:qFormat/>
    <w:rsid w:val="002204E0"/>
    <w:pPr>
      <w:spacing w:after="0" w:line="240" w:lineRule="auto"/>
      <w:ind w:left="-720" w:right="-676"/>
      <w:jc w:val="center"/>
    </w:pPr>
    <w:rPr>
      <w:rFonts w:ascii="Arial" w:eastAsia="Times New Roman" w:hAnsi="Arial" w:cs="Times New Roman"/>
      <w:b/>
      <w:sz w:val="28"/>
      <w:szCs w:val="24"/>
      <w:u w:val="single"/>
      <w:lang w:val="es-ES_tradnl"/>
    </w:rPr>
  </w:style>
  <w:style w:type="character" w:customStyle="1" w:styleId="EpgrafeCar">
    <w:name w:val="Epígrafe Car"/>
    <w:aliases w:val="Title Car"/>
    <w:link w:val="Epgrafe"/>
    <w:rsid w:val="002204E0"/>
    <w:rPr>
      <w:rFonts w:ascii="Arial" w:eastAsia="Times New Roman" w:hAnsi="Arial" w:cs="Times New Roman"/>
      <w:b/>
      <w:sz w:val="28"/>
      <w:szCs w:val="24"/>
      <w:u w:val="single"/>
      <w:lang w:val="es-ES_tradnl"/>
    </w:rPr>
  </w:style>
  <w:style w:type="paragraph" w:styleId="Textoindependiente">
    <w:name w:val="Body Text"/>
    <w:basedOn w:val="Normal"/>
    <w:link w:val="TextoindependienteCar"/>
    <w:rsid w:val="002204E0"/>
    <w:pPr>
      <w:spacing w:after="0" w:line="360" w:lineRule="auto"/>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2204E0"/>
    <w:rPr>
      <w:rFonts w:ascii="Arial" w:eastAsia="Times New Roman" w:hAnsi="Arial" w:cs="Times New Roman"/>
      <w:sz w:val="24"/>
      <w:szCs w:val="20"/>
    </w:rPr>
  </w:style>
  <w:style w:type="paragraph" w:customStyle="1" w:styleId="H3">
    <w:name w:val="H3"/>
    <w:basedOn w:val="Normal"/>
    <w:next w:val="Normal"/>
    <w:rsid w:val="002204E0"/>
    <w:pPr>
      <w:keepNext/>
      <w:spacing w:before="100" w:after="100" w:line="240" w:lineRule="auto"/>
      <w:jc w:val="left"/>
      <w:outlineLvl w:val="3"/>
    </w:pPr>
    <w:rPr>
      <w:rFonts w:ascii="Times New Roman" w:eastAsia="Times New Roman" w:hAnsi="Times New Roman" w:cs="Times New Roman"/>
      <w:b/>
      <w:snapToGrid w:val="0"/>
      <w:sz w:val="28"/>
      <w:szCs w:val="20"/>
      <w:lang w:val="es-ES" w:eastAsia="es-ES"/>
    </w:rPr>
  </w:style>
  <w:style w:type="paragraph" w:customStyle="1" w:styleId="Preformatted">
    <w:name w:val="Preformatted"/>
    <w:basedOn w:val="Normal"/>
    <w:rsid w:val="002204E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cs="Times New Roman"/>
      <w:snapToGrid w:val="0"/>
      <w:sz w:val="20"/>
      <w:szCs w:val="20"/>
      <w:lang w:val="es-ES" w:eastAsia="es-ES"/>
    </w:rPr>
  </w:style>
  <w:style w:type="paragraph" w:customStyle="1" w:styleId="3dmsobodytext">
    <w:name w:val="3dmsobodytext"/>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paragraph" w:customStyle="1" w:styleId="3dmsonormal">
    <w:name w:val="3dmsonormal"/>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character" w:customStyle="1" w:styleId="textonormal">
    <w:name w:val="textonormal"/>
    <w:rsid w:val="002204E0"/>
  </w:style>
  <w:style w:type="character" w:customStyle="1" w:styleId="elema1">
    <w:name w:val="elema1"/>
    <w:rsid w:val="002204E0"/>
    <w:rPr>
      <w:color w:val="0000FF"/>
      <w:sz w:val="30"/>
      <w:szCs w:val="30"/>
    </w:rPr>
  </w:style>
  <w:style w:type="character" w:customStyle="1" w:styleId="eetimo1">
    <w:name w:val="eetimo1"/>
    <w:rsid w:val="002204E0"/>
    <w:rPr>
      <w:rFonts w:ascii="Arial Unicode MS" w:eastAsia="Arial Unicode MS" w:hAnsi="Arial Unicode MS" w:cs="Arial Unicode MS" w:hint="eastAsia"/>
      <w:color w:val="008000"/>
      <w:sz w:val="24"/>
      <w:szCs w:val="24"/>
    </w:rPr>
  </w:style>
  <w:style w:type="character" w:customStyle="1" w:styleId="eabrv1">
    <w:name w:val="eabrv1"/>
    <w:rsid w:val="002204E0"/>
    <w:rPr>
      <w:color w:val="0000FF"/>
    </w:rPr>
  </w:style>
  <w:style w:type="character" w:customStyle="1" w:styleId="eacep1">
    <w:name w:val="eacep1"/>
    <w:rsid w:val="002204E0"/>
    <w:rPr>
      <w:color w:val="000000"/>
    </w:rPr>
  </w:style>
  <w:style w:type="character" w:customStyle="1" w:styleId="eordenaceplema1">
    <w:name w:val="eordenaceplema1"/>
    <w:rsid w:val="002204E0"/>
    <w:rPr>
      <w:color w:val="0000FF"/>
    </w:rPr>
  </w:style>
  <w:style w:type="character" w:customStyle="1" w:styleId="eejemplo1">
    <w:name w:val="eejemplo1"/>
    <w:rsid w:val="002204E0"/>
    <w:rPr>
      <w:color w:val="800080"/>
    </w:rPr>
  </w:style>
  <w:style w:type="paragraph" w:customStyle="1" w:styleId="comment-author">
    <w:name w:val="comment-author"/>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character" w:customStyle="1" w:styleId="byline">
    <w:name w:val="byline"/>
    <w:rsid w:val="002204E0"/>
  </w:style>
  <w:style w:type="paragraph" w:styleId="Sangradetextonormal">
    <w:name w:val="Body Text Indent"/>
    <w:basedOn w:val="Normal"/>
    <w:link w:val="SangradetextonormalCar"/>
    <w:rsid w:val="002204E0"/>
    <w:pPr>
      <w:spacing w:after="120" w:line="240" w:lineRule="auto"/>
      <w:ind w:left="283"/>
      <w:jc w:val="left"/>
    </w:pPr>
    <w:rPr>
      <w:rFonts w:ascii="Times New Roman" w:eastAsia="Times New Roman" w:hAnsi="Times New Roman" w:cs="Times New Roman"/>
      <w:sz w:val="20"/>
      <w:szCs w:val="20"/>
      <w:lang w:val="es-ES_tradnl"/>
    </w:rPr>
  </w:style>
  <w:style w:type="character" w:customStyle="1" w:styleId="SangradetextonormalCar">
    <w:name w:val="Sangría de texto normal Car"/>
    <w:basedOn w:val="Fuentedeprrafopredeter"/>
    <w:link w:val="Sangradetextonormal"/>
    <w:rsid w:val="002204E0"/>
    <w:rPr>
      <w:rFonts w:ascii="Times New Roman" w:eastAsia="Times New Roman" w:hAnsi="Times New Roman" w:cs="Times New Roman"/>
      <w:sz w:val="20"/>
      <w:szCs w:val="20"/>
      <w:lang w:val="es-ES_tradnl"/>
    </w:rPr>
  </w:style>
  <w:style w:type="paragraph" w:customStyle="1" w:styleId="container12">
    <w:name w:val="container_12"/>
    <w:basedOn w:val="Normal"/>
    <w:rsid w:val="002204E0"/>
    <w:pPr>
      <w:spacing w:before="45" w:after="45" w:line="240" w:lineRule="auto"/>
      <w:jc w:val="left"/>
    </w:pPr>
    <w:rPr>
      <w:rFonts w:ascii="Times New Roman" w:eastAsia="Times New Roman" w:hAnsi="Times New Roman" w:cs="Times New Roman"/>
      <w:szCs w:val="24"/>
      <w:lang w:val="es-ES" w:eastAsia="es-ES" w:bidi="pa-IN"/>
    </w:rPr>
  </w:style>
  <w:style w:type="paragraph" w:styleId="Listaconnmeros">
    <w:name w:val="List Number"/>
    <w:basedOn w:val="Normal"/>
    <w:rsid w:val="002204E0"/>
    <w:pPr>
      <w:numPr>
        <w:numId w:val="1"/>
      </w:numPr>
      <w:spacing w:after="0" w:line="240" w:lineRule="auto"/>
      <w:jc w:val="left"/>
    </w:pPr>
    <w:rPr>
      <w:rFonts w:ascii="Arial" w:eastAsia="Times New Roman" w:hAnsi="Arial" w:cs="Times New Roman"/>
      <w:b/>
      <w:szCs w:val="24"/>
      <w:lang w:val="es-ES" w:eastAsia="es-ES"/>
    </w:rPr>
  </w:style>
  <w:style w:type="paragraph" w:customStyle="1" w:styleId="Pa14">
    <w:name w:val="Pa14"/>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character" w:customStyle="1" w:styleId="A8">
    <w:name w:val="A8"/>
    <w:rsid w:val="002204E0"/>
    <w:rPr>
      <w:rFonts w:cs="JELBZY+AGaramondPro-Regular"/>
      <w:color w:val="000000"/>
      <w:sz w:val="62"/>
      <w:szCs w:val="62"/>
    </w:rPr>
  </w:style>
  <w:style w:type="character" w:customStyle="1" w:styleId="A3">
    <w:name w:val="A3"/>
    <w:rsid w:val="002204E0"/>
    <w:rPr>
      <w:rFonts w:cs="JELBZY+AGaramondPro-Regular"/>
      <w:color w:val="000000"/>
      <w:sz w:val="23"/>
      <w:szCs w:val="23"/>
    </w:rPr>
  </w:style>
  <w:style w:type="paragraph" w:customStyle="1" w:styleId="Pa15">
    <w:name w:val="Pa15"/>
    <w:basedOn w:val="Normal"/>
    <w:next w:val="Normal"/>
    <w:rsid w:val="002204E0"/>
    <w:pPr>
      <w:autoSpaceDE w:val="0"/>
      <w:autoSpaceDN w:val="0"/>
      <w:adjustRightInd w:val="0"/>
      <w:spacing w:after="0" w:line="261" w:lineRule="atLeast"/>
      <w:jc w:val="left"/>
    </w:pPr>
    <w:rPr>
      <w:rFonts w:ascii="JELBZY+AGaramondPro-Regular" w:eastAsia="Times New Roman" w:hAnsi="JELBZY+AGaramondPro-Regular" w:cs="Times New Roman"/>
      <w:szCs w:val="24"/>
      <w:lang w:val="es-ES" w:eastAsia="es-ES"/>
    </w:rPr>
  </w:style>
  <w:style w:type="paragraph" w:customStyle="1" w:styleId="Pa16">
    <w:name w:val="Pa16"/>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7">
    <w:name w:val="Pa7"/>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11">
    <w:name w:val="Pa11"/>
    <w:basedOn w:val="Normal"/>
    <w:next w:val="Normal"/>
    <w:rsid w:val="002204E0"/>
    <w:pPr>
      <w:autoSpaceDE w:val="0"/>
      <w:autoSpaceDN w:val="0"/>
      <w:adjustRightInd w:val="0"/>
      <w:spacing w:after="0" w:line="361" w:lineRule="atLeast"/>
      <w:jc w:val="left"/>
    </w:pPr>
    <w:rPr>
      <w:rFonts w:ascii="NKZZDQ+MyriadPro-Bold" w:eastAsia="Times New Roman" w:hAnsi="NKZZDQ+MyriadPro-Bold" w:cs="Times New Roman"/>
      <w:szCs w:val="24"/>
      <w:lang w:val="es-ES" w:eastAsia="es-ES"/>
    </w:rPr>
  </w:style>
  <w:style w:type="paragraph" w:styleId="TDC1">
    <w:name w:val="toc 1"/>
    <w:basedOn w:val="Normal"/>
    <w:next w:val="Normal"/>
    <w:autoRedefine/>
    <w:rsid w:val="002204E0"/>
    <w:pPr>
      <w:tabs>
        <w:tab w:val="left" w:pos="0"/>
        <w:tab w:val="right" w:leader="dot" w:pos="8828"/>
      </w:tabs>
      <w:spacing w:after="0" w:line="360" w:lineRule="auto"/>
      <w:jc w:val="left"/>
    </w:pPr>
    <w:rPr>
      <w:rFonts w:ascii="Arial" w:eastAsia="Times New Roman" w:hAnsi="Arial" w:cs="Arial"/>
      <w:noProof/>
      <w:color w:val="800000"/>
      <w:szCs w:val="24"/>
      <w:lang w:val="es-ES" w:eastAsia="es-ES"/>
    </w:rPr>
  </w:style>
  <w:style w:type="paragraph" w:styleId="TDC2">
    <w:name w:val="toc 2"/>
    <w:basedOn w:val="Normal"/>
    <w:next w:val="Normal"/>
    <w:autoRedefine/>
    <w:rsid w:val="002204E0"/>
    <w:pPr>
      <w:spacing w:after="0" w:line="240" w:lineRule="auto"/>
      <w:ind w:left="240"/>
      <w:jc w:val="left"/>
    </w:pPr>
    <w:rPr>
      <w:rFonts w:ascii="Times New Roman" w:eastAsia="Times New Roman" w:hAnsi="Times New Roman" w:cs="Times New Roman"/>
      <w:szCs w:val="24"/>
      <w:lang w:val="es-ES" w:eastAsia="es-ES"/>
    </w:rPr>
  </w:style>
  <w:style w:type="paragraph" w:styleId="Textoindependiente2">
    <w:name w:val="Body Text 2"/>
    <w:basedOn w:val="Normal"/>
    <w:link w:val="Textoindependiente2Car"/>
    <w:rsid w:val="002204E0"/>
    <w:pPr>
      <w:spacing w:after="120" w:line="480" w:lineRule="auto"/>
      <w:jc w:val="left"/>
    </w:pPr>
    <w:rPr>
      <w:rFonts w:ascii="Times New Roman" w:eastAsia="Batang" w:hAnsi="Times New Roman" w:cs="Times New Roman"/>
      <w:szCs w:val="24"/>
      <w:lang w:val="es-ES_tradnl" w:eastAsia="es-ES_tradnl"/>
    </w:rPr>
  </w:style>
  <w:style w:type="character" w:customStyle="1" w:styleId="Textoindependiente2Car">
    <w:name w:val="Texto independiente 2 Car"/>
    <w:basedOn w:val="Fuentedeprrafopredeter"/>
    <w:link w:val="Textoindependiente2"/>
    <w:rsid w:val="002204E0"/>
    <w:rPr>
      <w:rFonts w:ascii="Times New Roman" w:eastAsia="Batang" w:hAnsi="Times New Roman" w:cs="Times New Roman"/>
      <w:sz w:val="24"/>
      <w:szCs w:val="24"/>
      <w:lang w:val="es-ES_tradnl" w:eastAsia="es-ES_tradnl"/>
    </w:rPr>
  </w:style>
  <w:style w:type="paragraph" w:customStyle="1" w:styleId="Body">
    <w:name w:val="Body"/>
    <w:basedOn w:val="Normal"/>
    <w:link w:val="BodyChar"/>
    <w:rsid w:val="002204E0"/>
    <w:pPr>
      <w:spacing w:before="60" w:after="60" w:line="240" w:lineRule="auto"/>
      <w:jc w:val="left"/>
    </w:pPr>
    <w:rPr>
      <w:rFonts w:ascii="Tahoma" w:eastAsia="Batang" w:hAnsi="Tahoma" w:cs="Times New Roman"/>
      <w:iCs/>
      <w:color w:val="000000"/>
      <w:sz w:val="23"/>
      <w:szCs w:val="23"/>
      <w:lang w:val="es-ES_tradnl" w:eastAsia="en-CA"/>
    </w:rPr>
  </w:style>
  <w:style w:type="character" w:customStyle="1" w:styleId="BodyChar">
    <w:name w:val="Body Char"/>
    <w:link w:val="Body"/>
    <w:rsid w:val="002204E0"/>
    <w:rPr>
      <w:rFonts w:ascii="Tahoma" w:eastAsia="Batang" w:hAnsi="Tahoma" w:cs="Times New Roman"/>
      <w:iCs/>
      <w:color w:val="000000"/>
      <w:sz w:val="23"/>
      <w:szCs w:val="23"/>
      <w:lang w:val="es-ES_tradnl" w:eastAsia="en-CA"/>
    </w:rPr>
  </w:style>
  <w:style w:type="character" w:customStyle="1" w:styleId="Smbolodenotaalpie">
    <w:name w:val="Símbolo de nota al pie"/>
    <w:rsid w:val="002204E0"/>
    <w:rPr>
      <w:vertAlign w:val="superscript"/>
    </w:rPr>
  </w:style>
  <w:style w:type="paragraph" w:customStyle="1" w:styleId="TableContents">
    <w:name w:val="Table Contents"/>
    <w:basedOn w:val="Normal"/>
    <w:rsid w:val="002204E0"/>
    <w:pPr>
      <w:widowControl w:val="0"/>
      <w:suppressLineNumbers/>
      <w:suppressAutoHyphens/>
      <w:autoSpaceDN w:val="0"/>
      <w:spacing w:after="0" w:line="240" w:lineRule="auto"/>
      <w:jc w:val="left"/>
      <w:textAlignment w:val="baseline"/>
    </w:pPr>
    <w:rPr>
      <w:rFonts w:ascii="Liberation Serif" w:eastAsia="DejaVu Sans" w:hAnsi="Liberation Serif" w:cs="DejaVu Sans"/>
      <w:kern w:val="3"/>
      <w:szCs w:val="24"/>
      <w:lang w:val="es-AR" w:eastAsia="es-SV"/>
    </w:rPr>
  </w:style>
  <w:style w:type="character" w:customStyle="1" w:styleId="Sangra3detindependienteCar">
    <w:name w:val="Sangría 3 de t. independiente Car"/>
    <w:basedOn w:val="Fuentedeprrafopredeter"/>
    <w:link w:val="Sangra3detindependiente"/>
    <w:uiPriority w:val="99"/>
    <w:semiHidden/>
    <w:rsid w:val="002204E0"/>
    <w:rPr>
      <w:rFonts w:ascii="Times New Roman" w:eastAsia="Times New Roman" w:hAnsi="Times New Roman" w:cs="Times New Roman"/>
      <w:sz w:val="16"/>
      <w:szCs w:val="16"/>
      <w:lang w:val="es-ES_tradnl" w:eastAsia="es-ES"/>
    </w:rPr>
  </w:style>
  <w:style w:type="paragraph" w:styleId="Sangra3detindependiente">
    <w:name w:val="Body Text Indent 3"/>
    <w:basedOn w:val="Normal"/>
    <w:link w:val="Sangra3detindependienteCar"/>
    <w:uiPriority w:val="99"/>
    <w:semiHidden/>
    <w:unhideWhenUsed/>
    <w:rsid w:val="002204E0"/>
    <w:pPr>
      <w:spacing w:after="120" w:line="240" w:lineRule="auto"/>
      <w:ind w:left="283"/>
      <w:jc w:val="left"/>
    </w:pPr>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uiPriority w:val="99"/>
    <w:unhideWhenUsed/>
    <w:rsid w:val="002204E0"/>
    <w:pPr>
      <w:spacing w:after="120" w:line="480" w:lineRule="auto"/>
      <w:ind w:left="283"/>
      <w:jc w:val="left"/>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2204E0"/>
    <w:rPr>
      <w:rFonts w:ascii="Times New Roman" w:eastAsia="Times New Roman" w:hAnsi="Times New Roman" w:cs="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EE23AF"/>
    <w:pPr>
      <w:jc w:val="both"/>
    </w:pPr>
    <w:rPr>
      <w:rFonts w:ascii="Garamond" w:hAnsi="Garamond"/>
      <w:sz w:val="24"/>
    </w:rPr>
  </w:style>
  <w:style w:type="paragraph" w:styleId="Ttulo1">
    <w:name w:val="heading 1"/>
    <w:aliases w:val="Amicus titulo"/>
    <w:basedOn w:val="Normal"/>
    <w:next w:val="Normal"/>
    <w:link w:val="Ttulo1Car"/>
    <w:qFormat/>
    <w:rsid w:val="008C7BAB"/>
    <w:pPr>
      <w:keepNext/>
      <w:keepLines/>
      <w:spacing w:before="480" w:after="0"/>
      <w:outlineLvl w:val="0"/>
    </w:pPr>
    <w:rPr>
      <w:rFonts w:eastAsiaTheme="majorEastAsia" w:cstheme="majorBidi"/>
      <w:b/>
      <w:bCs/>
      <w:sz w:val="28"/>
      <w:szCs w:val="28"/>
    </w:rPr>
  </w:style>
  <w:style w:type="paragraph" w:styleId="Ttulo2">
    <w:name w:val="heading 2"/>
    <w:aliases w:val="Subtitulos Amicus"/>
    <w:basedOn w:val="Subttulo"/>
    <w:next w:val="Normal"/>
    <w:link w:val="Ttulo2Car"/>
    <w:unhideWhenUsed/>
    <w:qFormat/>
    <w:rsid w:val="003A59D2"/>
    <w:pPr>
      <w:keepNext/>
      <w:keepLines/>
      <w:spacing w:before="200" w:after="0"/>
      <w:jc w:val="left"/>
      <w:outlineLvl w:val="1"/>
    </w:pPr>
    <w:rPr>
      <w:rFonts w:ascii="Garamond" w:hAnsi="Garamond"/>
      <w:b/>
      <w:bCs/>
      <w:i w:val="0"/>
      <w:color w:val="auto"/>
      <w:szCs w:val="26"/>
    </w:rPr>
  </w:style>
  <w:style w:type="paragraph" w:styleId="Ttulo3">
    <w:name w:val="heading 3"/>
    <w:basedOn w:val="Normal"/>
    <w:next w:val="Normal"/>
    <w:link w:val="Ttulo3Car"/>
    <w:qFormat/>
    <w:rsid w:val="002204E0"/>
    <w:pPr>
      <w:keepNext/>
      <w:spacing w:before="240" w:after="60" w:line="240" w:lineRule="auto"/>
      <w:jc w:val="left"/>
      <w:outlineLvl w:val="2"/>
    </w:pPr>
    <w:rPr>
      <w:rFonts w:ascii="Arial" w:eastAsia="Times New Roman" w:hAnsi="Arial" w:cs="Times New Roman"/>
      <w:b/>
      <w:bCs/>
      <w:sz w:val="26"/>
      <w:szCs w:val="26"/>
      <w:lang w:val="es-ES_tradnl" w:eastAsia="es-ES"/>
    </w:rPr>
  </w:style>
  <w:style w:type="paragraph" w:styleId="Ttulo4">
    <w:name w:val="heading 4"/>
    <w:basedOn w:val="Normal"/>
    <w:next w:val="Normal"/>
    <w:link w:val="Ttulo4Car"/>
    <w:qFormat/>
    <w:rsid w:val="002204E0"/>
    <w:pPr>
      <w:keepNext/>
      <w:spacing w:before="240" w:after="60" w:line="240" w:lineRule="auto"/>
      <w:jc w:val="left"/>
      <w:outlineLvl w:val="3"/>
    </w:pPr>
    <w:rPr>
      <w:rFonts w:ascii="Times New Roman" w:eastAsia="Times New Roman" w:hAnsi="Times New Roman" w:cs="Times New Roman"/>
      <w:b/>
      <w:bCs/>
      <w:sz w:val="28"/>
      <w:szCs w:val="28"/>
      <w:lang w:val="es-ES_tradnl" w:eastAsia="es-ES"/>
    </w:rPr>
  </w:style>
  <w:style w:type="paragraph" w:styleId="Ttulo5">
    <w:name w:val="heading 5"/>
    <w:basedOn w:val="Normal"/>
    <w:next w:val="Normal"/>
    <w:link w:val="Ttulo5Car"/>
    <w:qFormat/>
    <w:rsid w:val="002204E0"/>
    <w:pPr>
      <w:spacing w:before="240" w:after="60" w:line="240" w:lineRule="auto"/>
      <w:jc w:val="left"/>
      <w:outlineLvl w:val="4"/>
    </w:pPr>
    <w:rPr>
      <w:rFonts w:ascii="Times New Roman" w:eastAsia="Batang" w:hAnsi="Times New Roman" w:cs="Times New Roman"/>
      <w:b/>
      <w:bCs/>
      <w:i/>
      <w:iCs/>
      <w:sz w:val="26"/>
      <w:szCs w:val="26"/>
      <w:lang w:val="es-ES_tradnl" w:eastAsia="es-ES_tradnl"/>
    </w:rPr>
  </w:style>
  <w:style w:type="paragraph" w:styleId="Ttulo6">
    <w:name w:val="heading 6"/>
    <w:basedOn w:val="Normal"/>
    <w:next w:val="Normal"/>
    <w:link w:val="Ttulo6Car"/>
    <w:qFormat/>
    <w:rsid w:val="002204E0"/>
    <w:pPr>
      <w:keepNext/>
      <w:keepLines/>
      <w:spacing w:before="200" w:after="0" w:line="240" w:lineRule="auto"/>
      <w:jc w:val="left"/>
      <w:outlineLvl w:val="5"/>
    </w:pPr>
    <w:rPr>
      <w:rFonts w:ascii="Cambria" w:eastAsia="Times New Roman" w:hAnsi="Cambria" w:cs="Times New Roman"/>
      <w:i/>
      <w:iCs/>
      <w:color w:val="243F60"/>
      <w:sz w:val="20"/>
      <w:szCs w:val="20"/>
      <w:lang w:val="es-ES_tradnl"/>
    </w:rPr>
  </w:style>
  <w:style w:type="paragraph" w:styleId="Ttulo9">
    <w:name w:val="heading 9"/>
    <w:basedOn w:val="Normal"/>
    <w:next w:val="Normal"/>
    <w:link w:val="Ttulo9Car"/>
    <w:qFormat/>
    <w:rsid w:val="002204E0"/>
    <w:pPr>
      <w:spacing w:before="240" w:after="60" w:line="240" w:lineRule="auto"/>
      <w:jc w:val="left"/>
      <w:outlineLvl w:val="8"/>
    </w:pPr>
    <w:rPr>
      <w:rFonts w:ascii="Arial" w:eastAsia="Times New Roman" w:hAnsi="Arial" w:cs="Times New Roman"/>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micus titulo Car"/>
    <w:basedOn w:val="Fuentedeprrafopredeter"/>
    <w:link w:val="Ttulo1"/>
    <w:rsid w:val="008C7BAB"/>
    <w:rPr>
      <w:rFonts w:ascii="Garamond" w:eastAsiaTheme="majorEastAsia" w:hAnsi="Garamond" w:cstheme="majorBidi"/>
      <w:b/>
      <w:bCs/>
      <w:sz w:val="28"/>
      <w:szCs w:val="28"/>
    </w:rPr>
  </w:style>
  <w:style w:type="paragraph" w:styleId="Subttulo">
    <w:name w:val="Subtitle"/>
    <w:basedOn w:val="Normal"/>
    <w:next w:val="Normal"/>
    <w:link w:val="SubttuloCar"/>
    <w:uiPriority w:val="11"/>
    <w:qFormat/>
    <w:rsid w:val="008C7BA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C7BAB"/>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aliases w:val="Subtitulos Amicus Car"/>
    <w:basedOn w:val="Fuentedeprrafopredeter"/>
    <w:link w:val="Ttulo2"/>
    <w:rsid w:val="003A59D2"/>
    <w:rPr>
      <w:rFonts w:ascii="Garamond" w:eastAsiaTheme="majorEastAsia" w:hAnsi="Garamond" w:cstheme="majorBidi"/>
      <w:b/>
      <w:bCs/>
      <w:iCs/>
      <w:spacing w:val="15"/>
      <w:sz w:val="24"/>
      <w:szCs w:val="26"/>
    </w:rPr>
  </w:style>
  <w:style w:type="character" w:customStyle="1" w:styleId="Ttulo3Car">
    <w:name w:val="Título 3 Car"/>
    <w:basedOn w:val="Fuentedeprrafopredeter"/>
    <w:link w:val="Ttulo3"/>
    <w:rsid w:val="002204E0"/>
    <w:rPr>
      <w:rFonts w:ascii="Arial" w:eastAsia="Times New Roman" w:hAnsi="Arial" w:cs="Times New Roman"/>
      <w:b/>
      <w:bCs/>
      <w:sz w:val="26"/>
      <w:szCs w:val="26"/>
      <w:lang w:val="es-ES_tradnl" w:eastAsia="es-ES"/>
    </w:rPr>
  </w:style>
  <w:style w:type="character" w:customStyle="1" w:styleId="Ttulo4Car">
    <w:name w:val="Título 4 Car"/>
    <w:basedOn w:val="Fuentedeprrafopredeter"/>
    <w:link w:val="Ttulo4"/>
    <w:rsid w:val="002204E0"/>
    <w:rPr>
      <w:rFonts w:ascii="Times New Roman" w:eastAsia="Times New Roman" w:hAnsi="Times New Roman" w:cs="Times New Roman"/>
      <w:b/>
      <w:bCs/>
      <w:sz w:val="28"/>
      <w:szCs w:val="28"/>
      <w:lang w:val="es-ES_tradnl" w:eastAsia="es-ES"/>
    </w:rPr>
  </w:style>
  <w:style w:type="character" w:customStyle="1" w:styleId="Ttulo5Car">
    <w:name w:val="Título 5 Car"/>
    <w:basedOn w:val="Fuentedeprrafopredeter"/>
    <w:link w:val="Ttulo5"/>
    <w:rsid w:val="002204E0"/>
    <w:rPr>
      <w:rFonts w:ascii="Times New Roman" w:eastAsia="Batang" w:hAnsi="Times New Roman" w:cs="Times New Roman"/>
      <w:b/>
      <w:bCs/>
      <w:i/>
      <w:iCs/>
      <w:sz w:val="26"/>
      <w:szCs w:val="26"/>
      <w:lang w:val="es-ES_tradnl" w:eastAsia="es-ES_tradnl"/>
    </w:rPr>
  </w:style>
  <w:style w:type="character" w:customStyle="1" w:styleId="Ttulo6Car">
    <w:name w:val="Título 6 Car"/>
    <w:basedOn w:val="Fuentedeprrafopredeter"/>
    <w:link w:val="Ttulo6"/>
    <w:rsid w:val="002204E0"/>
    <w:rPr>
      <w:rFonts w:ascii="Cambria" w:eastAsia="Times New Roman" w:hAnsi="Cambria" w:cs="Times New Roman"/>
      <w:i/>
      <w:iCs/>
      <w:color w:val="243F60"/>
      <w:sz w:val="20"/>
      <w:szCs w:val="20"/>
      <w:lang w:val="es-ES_tradnl"/>
    </w:rPr>
  </w:style>
  <w:style w:type="character" w:customStyle="1" w:styleId="Ttulo9Car">
    <w:name w:val="Título 9 Car"/>
    <w:basedOn w:val="Fuentedeprrafopredeter"/>
    <w:link w:val="Ttulo9"/>
    <w:rsid w:val="002204E0"/>
    <w:rPr>
      <w:rFonts w:ascii="Arial" w:eastAsia="Times New Roman" w:hAnsi="Arial" w:cs="Times New Roman"/>
      <w:sz w:val="20"/>
      <w:szCs w:val="20"/>
      <w:lang w:val="es-ES_tradnl" w:eastAsia="es-ES_tradnl"/>
    </w:rPr>
  </w:style>
  <w:style w:type="paragraph" w:styleId="Cita">
    <w:name w:val="Quote"/>
    <w:aliases w:val="Amicus Cita"/>
    <w:basedOn w:val="Piedepgina"/>
    <w:link w:val="CitaCar"/>
    <w:autoRedefine/>
    <w:uiPriority w:val="29"/>
    <w:qFormat/>
    <w:rsid w:val="006E449D"/>
    <w:pPr>
      <w:spacing w:after="80"/>
    </w:pPr>
    <w:rPr>
      <w:rFonts w:cs="Times New Roman"/>
      <w:iCs/>
      <w:color w:val="000000" w:themeColor="text1"/>
      <w:sz w:val="22"/>
    </w:rPr>
  </w:style>
  <w:style w:type="paragraph" w:styleId="Piedepgina">
    <w:name w:val="footer"/>
    <w:basedOn w:val="Normal"/>
    <w:link w:val="PiedepginaCar"/>
    <w:uiPriority w:val="99"/>
    <w:unhideWhenUsed/>
    <w:rsid w:val="00A81F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FC8"/>
  </w:style>
  <w:style w:type="character" w:customStyle="1" w:styleId="CitaCar">
    <w:name w:val="Cita Car"/>
    <w:aliases w:val="Amicus Cita Car"/>
    <w:basedOn w:val="Fuentedeprrafopredeter"/>
    <w:link w:val="Cita"/>
    <w:uiPriority w:val="29"/>
    <w:rsid w:val="006E449D"/>
    <w:rPr>
      <w:rFonts w:ascii="Garamond" w:hAnsi="Garamond" w:cs="Times New Roman"/>
      <w:iCs/>
      <w:color w:val="000000" w:themeColor="text1"/>
    </w:rPr>
  </w:style>
  <w:style w:type="paragraph" w:customStyle="1" w:styleId="Ttulos">
    <w:name w:val="Títulos"/>
    <w:basedOn w:val="Normal"/>
    <w:uiPriority w:val="99"/>
    <w:rsid w:val="009E3816"/>
    <w:pPr>
      <w:autoSpaceDE w:val="0"/>
      <w:autoSpaceDN w:val="0"/>
      <w:adjustRightInd w:val="0"/>
      <w:spacing w:after="0" w:line="288" w:lineRule="auto"/>
      <w:jc w:val="center"/>
      <w:textAlignment w:val="center"/>
    </w:pPr>
    <w:rPr>
      <w:rFonts w:ascii="Garamond (TT) Bold" w:eastAsiaTheme="minorEastAsia" w:hAnsi="Garamond (TT) Bold" w:cs="Garamond (TT) Bold"/>
      <w:b/>
      <w:bCs/>
      <w:color w:val="000000"/>
      <w:sz w:val="28"/>
      <w:szCs w:val="28"/>
      <w:lang w:val="en-US" w:bidi="en-US"/>
    </w:rPr>
  </w:style>
  <w:style w:type="paragraph" w:styleId="Encabezado">
    <w:name w:val="header"/>
    <w:basedOn w:val="Normal"/>
    <w:link w:val="EncabezadoCar"/>
    <w:uiPriority w:val="99"/>
    <w:unhideWhenUsed/>
    <w:rsid w:val="009E3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816"/>
  </w:style>
  <w:style w:type="paragraph" w:styleId="Textodeglobo">
    <w:name w:val="Balloon Text"/>
    <w:basedOn w:val="Normal"/>
    <w:link w:val="TextodegloboCar"/>
    <w:unhideWhenUsed/>
    <w:rsid w:val="00A83C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83C0E"/>
    <w:rPr>
      <w:rFonts w:ascii="Tahoma" w:hAnsi="Tahoma" w:cs="Tahoma"/>
      <w:sz w:val="16"/>
      <w:szCs w:val="16"/>
    </w:rPr>
  </w:style>
  <w:style w:type="paragraph" w:customStyle="1" w:styleId="ContenidoAmicus">
    <w:name w:val="Contenido Amicus"/>
    <w:basedOn w:val="Normal"/>
    <w:uiPriority w:val="99"/>
    <w:rsid w:val="00A8323D"/>
    <w:pPr>
      <w:autoSpaceDE w:val="0"/>
      <w:autoSpaceDN w:val="0"/>
      <w:adjustRightInd w:val="0"/>
      <w:spacing w:line="360" w:lineRule="auto"/>
      <w:ind w:firstLine="227"/>
      <w:textAlignment w:val="center"/>
    </w:pPr>
    <w:rPr>
      <w:rFonts w:eastAsiaTheme="minorEastAsia" w:cs="Minion Pro"/>
      <w:color w:val="000000"/>
      <w:szCs w:val="24"/>
      <w:lang w:val="en-US" w:bidi="en-US"/>
    </w:rPr>
  </w:style>
  <w:style w:type="paragraph" w:styleId="Textoindependiente3">
    <w:name w:val="Body Text 3"/>
    <w:link w:val="Textoindependiente3Car"/>
    <w:unhideWhenUsed/>
    <w:rsid w:val="0066479D"/>
    <w:pPr>
      <w:spacing w:after="0" w:line="240" w:lineRule="auto"/>
    </w:pPr>
    <w:rPr>
      <w:rFonts w:ascii="Tw Cen MT" w:eastAsia="Times New Roman" w:hAnsi="Tw Cen MT" w:cs="Times New Roman"/>
      <w:color w:val="000000"/>
      <w:kern w:val="28"/>
      <w:lang w:eastAsia="es-MX"/>
    </w:rPr>
  </w:style>
  <w:style w:type="character" w:customStyle="1" w:styleId="Textoindependiente3Car">
    <w:name w:val="Texto independiente 3 Car"/>
    <w:basedOn w:val="Fuentedeprrafopredeter"/>
    <w:link w:val="Textoindependiente3"/>
    <w:rsid w:val="0066479D"/>
    <w:rPr>
      <w:rFonts w:ascii="Tw Cen MT" w:eastAsia="Times New Roman" w:hAnsi="Tw Cen MT" w:cs="Times New Roman"/>
      <w:color w:val="000000"/>
      <w:kern w:val="28"/>
      <w:lang w:eastAsia="es-MX"/>
    </w:rPr>
  </w:style>
  <w:style w:type="paragraph" w:customStyle="1" w:styleId="AmicusPresentacin">
    <w:name w:val="Amicus Presentación"/>
    <w:basedOn w:val="Normal"/>
    <w:uiPriority w:val="99"/>
    <w:rsid w:val="00F679AC"/>
    <w:pPr>
      <w:autoSpaceDE w:val="0"/>
      <w:autoSpaceDN w:val="0"/>
      <w:adjustRightInd w:val="0"/>
      <w:spacing w:after="0" w:line="360" w:lineRule="auto"/>
      <w:textAlignment w:val="center"/>
    </w:pPr>
    <w:rPr>
      <w:rFonts w:eastAsiaTheme="minorEastAsia" w:cs="Minion Pro"/>
      <w:color w:val="000000"/>
      <w:szCs w:val="24"/>
      <w:lang w:val="en-US" w:bidi="en-US"/>
    </w:rPr>
  </w:style>
  <w:style w:type="paragraph" w:styleId="Textonotapie">
    <w:name w:val="footnote text"/>
    <w:basedOn w:val="Normal"/>
    <w:link w:val="TextonotapieCar"/>
    <w:uiPriority w:val="99"/>
    <w:unhideWhenUsed/>
    <w:rsid w:val="003A59D2"/>
    <w:pPr>
      <w:spacing w:after="0" w:line="240" w:lineRule="auto"/>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rsid w:val="003A59D2"/>
    <w:rPr>
      <w:sz w:val="20"/>
      <w:szCs w:val="20"/>
    </w:rPr>
  </w:style>
  <w:style w:type="character" w:styleId="Refdenotaalpie">
    <w:name w:val="footnote reference"/>
    <w:basedOn w:val="Fuentedeprrafopredeter"/>
    <w:unhideWhenUsed/>
    <w:rsid w:val="003A59D2"/>
    <w:rPr>
      <w:vertAlign w:val="superscript"/>
    </w:rPr>
  </w:style>
  <w:style w:type="character" w:styleId="Hipervnculo">
    <w:name w:val="Hyperlink"/>
    <w:basedOn w:val="Fuentedeprrafopredeter"/>
    <w:unhideWhenUsed/>
    <w:rsid w:val="003A59D2"/>
    <w:rPr>
      <w:color w:val="0000FF" w:themeColor="hyperlink"/>
      <w:u w:val="single"/>
    </w:rPr>
  </w:style>
  <w:style w:type="character" w:styleId="Hipervnculovisitado">
    <w:name w:val="FollowedHyperlink"/>
    <w:basedOn w:val="Fuentedeprrafopredeter"/>
    <w:uiPriority w:val="99"/>
    <w:semiHidden/>
    <w:unhideWhenUsed/>
    <w:rsid w:val="00A76984"/>
    <w:rPr>
      <w:color w:val="800080" w:themeColor="followedHyperlink"/>
      <w:u w:val="single"/>
    </w:rPr>
  </w:style>
  <w:style w:type="character" w:customStyle="1" w:styleId="argris12">
    <w:name w:val="argris12"/>
    <w:basedOn w:val="Fuentedeprrafopredeter"/>
    <w:rsid w:val="009559A2"/>
  </w:style>
  <w:style w:type="paragraph" w:styleId="Prrafodelista">
    <w:name w:val="List Paragraph"/>
    <w:basedOn w:val="Normal"/>
    <w:uiPriority w:val="34"/>
    <w:qFormat/>
    <w:rsid w:val="000B21FB"/>
    <w:pPr>
      <w:ind w:left="720"/>
      <w:contextualSpacing/>
      <w:jc w:val="left"/>
    </w:pPr>
    <w:rPr>
      <w:rFonts w:asciiTheme="minorHAnsi" w:hAnsiTheme="minorHAnsi"/>
      <w:sz w:val="22"/>
    </w:rPr>
  </w:style>
  <w:style w:type="paragraph" w:customStyle="1" w:styleId="Default">
    <w:name w:val="Default"/>
    <w:rsid w:val="006F7895"/>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F7895"/>
    <w:pPr>
      <w:spacing w:after="0" w:line="240" w:lineRule="auto"/>
    </w:pPr>
  </w:style>
  <w:style w:type="paragraph" w:styleId="NormalWeb">
    <w:name w:val="Normal (Web)"/>
    <w:basedOn w:val="Normal"/>
    <w:link w:val="NormalWebCar"/>
    <w:unhideWhenUsed/>
    <w:rsid w:val="003519C2"/>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NormalWebCar">
    <w:name w:val="Normal (Web) Car"/>
    <w:link w:val="NormalWeb"/>
    <w:rsid w:val="002204E0"/>
    <w:rPr>
      <w:rFonts w:ascii="Times New Roman" w:eastAsia="Times New Roman" w:hAnsi="Times New Roman" w:cs="Times New Roman"/>
      <w:sz w:val="24"/>
      <w:szCs w:val="24"/>
      <w:lang w:eastAsia="es-MX"/>
    </w:rPr>
  </w:style>
  <w:style w:type="character" w:customStyle="1" w:styleId="arnaranja10b">
    <w:name w:val="arnaranja10b"/>
    <w:basedOn w:val="Fuentedeprrafopredeter"/>
    <w:rsid w:val="003519C2"/>
  </w:style>
  <w:style w:type="character" w:customStyle="1" w:styleId="apple-converted-space">
    <w:name w:val="apple-converted-space"/>
    <w:basedOn w:val="Fuentedeprrafopredeter"/>
    <w:rsid w:val="003519C2"/>
  </w:style>
  <w:style w:type="paragraph" w:styleId="Textonotaalfinal">
    <w:name w:val="endnote text"/>
    <w:basedOn w:val="Normal"/>
    <w:link w:val="TextonotaalfinalCar"/>
    <w:uiPriority w:val="99"/>
    <w:unhideWhenUsed/>
    <w:rsid w:val="0053651F"/>
    <w:pPr>
      <w:spacing w:after="0" w:line="240" w:lineRule="auto"/>
      <w:jc w:val="left"/>
    </w:pPr>
    <w:rPr>
      <w:rFonts w:ascii="Calibri" w:eastAsia="MS Mincho" w:hAnsi="Calibri" w:cs="Times New Roman"/>
      <w:szCs w:val="24"/>
      <w:lang w:val="es-ES_tradnl" w:eastAsia="es-ES"/>
    </w:rPr>
  </w:style>
  <w:style w:type="character" w:customStyle="1" w:styleId="TextonotaalfinalCar">
    <w:name w:val="Texto nota al final Car"/>
    <w:basedOn w:val="Fuentedeprrafopredeter"/>
    <w:link w:val="Textonotaalfinal"/>
    <w:uiPriority w:val="99"/>
    <w:rsid w:val="0053651F"/>
    <w:rPr>
      <w:rFonts w:ascii="Calibri" w:eastAsia="MS Mincho" w:hAnsi="Calibri" w:cs="Times New Roman"/>
      <w:sz w:val="24"/>
      <w:szCs w:val="24"/>
      <w:lang w:val="es-ES_tradnl" w:eastAsia="es-ES"/>
    </w:rPr>
  </w:style>
  <w:style w:type="paragraph" w:styleId="HTMLconformatoprevio">
    <w:name w:val="HTML Preformatted"/>
    <w:basedOn w:val="Normal"/>
    <w:link w:val="HTMLconformatoprevioCar"/>
    <w:uiPriority w:val="99"/>
    <w:unhideWhenUsed/>
    <w:rsid w:val="00F614EF"/>
    <w:pPr>
      <w:spacing w:after="0" w:line="240" w:lineRule="auto"/>
      <w:jc w:val="left"/>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614EF"/>
    <w:rPr>
      <w:rFonts w:ascii="Consolas" w:hAnsi="Consolas" w:cs="Consolas"/>
      <w:sz w:val="20"/>
      <w:szCs w:val="20"/>
    </w:rPr>
  </w:style>
  <w:style w:type="character" w:customStyle="1" w:styleId="A1">
    <w:name w:val="A1"/>
    <w:uiPriority w:val="99"/>
    <w:rsid w:val="003003BA"/>
    <w:rPr>
      <w:rFonts w:cs="AkzidenzGroteskBE-Regular"/>
      <w:color w:val="000000"/>
      <w:sz w:val="17"/>
      <w:szCs w:val="17"/>
    </w:rPr>
  </w:style>
  <w:style w:type="paragraph" w:customStyle="1" w:styleId="Pa3">
    <w:name w:val="Pa3"/>
    <w:basedOn w:val="Default"/>
    <w:next w:val="Default"/>
    <w:uiPriority w:val="99"/>
    <w:rsid w:val="003003BA"/>
    <w:pPr>
      <w:spacing w:line="240" w:lineRule="atLeast"/>
    </w:pPr>
    <w:rPr>
      <w:rFonts w:ascii="AkzidenzGroteskBE-Regular" w:eastAsia="Calibri" w:hAnsi="AkzidenzGroteskBE-Regular" w:cs="Times New Roman"/>
      <w:color w:val="auto"/>
      <w:lang w:val="es-ES"/>
    </w:rPr>
  </w:style>
  <w:style w:type="character" w:customStyle="1" w:styleId="A0">
    <w:name w:val="A0"/>
    <w:uiPriority w:val="99"/>
    <w:rsid w:val="003003BA"/>
    <w:rPr>
      <w:rFonts w:cs="AkzidenzGroteskBE-Regular"/>
      <w:color w:val="000000"/>
      <w:sz w:val="18"/>
      <w:szCs w:val="18"/>
    </w:rPr>
  </w:style>
  <w:style w:type="character" w:customStyle="1" w:styleId="A4">
    <w:name w:val="A4"/>
    <w:rsid w:val="003003BA"/>
    <w:rPr>
      <w:rFonts w:cs="AkzidenzGroteskBE-Regular"/>
      <w:color w:val="000000"/>
      <w:sz w:val="20"/>
      <w:szCs w:val="20"/>
    </w:rPr>
  </w:style>
  <w:style w:type="character" w:customStyle="1" w:styleId="A9">
    <w:name w:val="A9"/>
    <w:uiPriority w:val="99"/>
    <w:rsid w:val="003003BA"/>
    <w:rPr>
      <w:rFonts w:cs="AkzidenzGroteskBE-Regular"/>
      <w:color w:val="000000"/>
      <w:sz w:val="16"/>
      <w:szCs w:val="16"/>
    </w:rPr>
  </w:style>
  <w:style w:type="paragraph" w:styleId="Citadestacada">
    <w:name w:val="Intense Quote"/>
    <w:basedOn w:val="Normal"/>
    <w:next w:val="Normal"/>
    <w:link w:val="CitadestacadaCar"/>
    <w:uiPriority w:val="30"/>
    <w:qFormat/>
    <w:rsid w:val="003003BA"/>
    <w:pPr>
      <w:pBdr>
        <w:bottom w:val="single" w:sz="4" w:space="4" w:color="4F81BD"/>
      </w:pBdr>
      <w:spacing w:before="200" w:after="280"/>
      <w:ind w:left="936" w:right="936"/>
      <w:jc w:val="left"/>
    </w:pPr>
    <w:rPr>
      <w:rFonts w:ascii="Calibri" w:eastAsia="Calibri" w:hAnsi="Calibri" w:cs="Times New Roman"/>
      <w:b/>
      <w:bCs/>
      <w:i/>
      <w:iCs/>
      <w:color w:val="4F81BD"/>
      <w:sz w:val="22"/>
      <w:lang w:val="es-ES"/>
    </w:rPr>
  </w:style>
  <w:style w:type="character" w:customStyle="1" w:styleId="CitadestacadaCar">
    <w:name w:val="Cita destacada Car"/>
    <w:basedOn w:val="Fuentedeprrafopredeter"/>
    <w:link w:val="Citadestacada"/>
    <w:uiPriority w:val="30"/>
    <w:rsid w:val="003003BA"/>
    <w:rPr>
      <w:rFonts w:ascii="Calibri" w:eastAsia="Calibri" w:hAnsi="Calibri" w:cs="Times New Roman"/>
      <w:b/>
      <w:bCs/>
      <w:i/>
      <w:iCs/>
      <w:color w:val="4F81BD"/>
      <w:lang w:val="es-ES"/>
    </w:rPr>
  </w:style>
  <w:style w:type="character" w:customStyle="1" w:styleId="arnegro141">
    <w:name w:val="arnegro141"/>
    <w:basedOn w:val="Fuentedeprrafopredeter"/>
    <w:rsid w:val="003003BA"/>
    <w:rPr>
      <w:rFonts w:ascii="Arial" w:hAnsi="Arial" w:cs="Arial" w:hint="default"/>
      <w:color w:val="000000"/>
      <w:sz w:val="21"/>
      <w:szCs w:val="21"/>
    </w:rPr>
  </w:style>
  <w:style w:type="paragraph" w:customStyle="1" w:styleId="1">
    <w:name w:val="1"/>
    <w:basedOn w:val="Normal"/>
    <w:next w:val="Normal"/>
    <w:uiPriority w:val="10"/>
    <w:qFormat/>
    <w:rsid w:val="003003BA"/>
    <w:pPr>
      <w:pBdr>
        <w:bottom w:val="single" w:sz="8" w:space="4" w:color="4F81BD"/>
      </w:pBdr>
      <w:spacing w:after="300" w:line="240" w:lineRule="auto"/>
      <w:contextualSpacing/>
      <w:jc w:val="left"/>
    </w:pPr>
    <w:rPr>
      <w:rFonts w:ascii="Cambria" w:eastAsia="Times New Roman" w:hAnsi="Cambria" w:cs="Times New Roman"/>
      <w:color w:val="17365D"/>
      <w:spacing w:val="5"/>
      <w:kern w:val="28"/>
      <w:sz w:val="52"/>
      <w:szCs w:val="52"/>
      <w:lang w:val="es-ES"/>
    </w:rPr>
  </w:style>
  <w:style w:type="character" w:customStyle="1" w:styleId="TtuloCar">
    <w:name w:val="Título Car"/>
    <w:basedOn w:val="Fuentedeprrafopredeter"/>
    <w:link w:val="Ttulo"/>
    <w:uiPriority w:val="10"/>
    <w:rsid w:val="003003BA"/>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3003BA"/>
    <w:pPr>
      <w:spacing w:after="0" w:line="240" w:lineRule="auto"/>
      <w:contextualSpacing/>
      <w:jc w:val="left"/>
    </w:pPr>
    <w:rPr>
      <w:rFonts w:ascii="Cambria" w:eastAsia="Times New Roman" w:hAnsi="Cambria" w:cs="Times New Roman"/>
      <w:color w:val="17365D"/>
      <w:spacing w:val="5"/>
      <w:kern w:val="28"/>
      <w:sz w:val="52"/>
      <w:szCs w:val="52"/>
    </w:rPr>
  </w:style>
  <w:style w:type="character" w:styleId="nfasisintenso">
    <w:name w:val="Intense Emphasis"/>
    <w:basedOn w:val="Fuentedeprrafopredeter"/>
    <w:uiPriority w:val="21"/>
    <w:qFormat/>
    <w:rsid w:val="003003BA"/>
    <w:rPr>
      <w:b/>
      <w:bCs/>
      <w:i/>
      <w:iCs/>
      <w:color w:val="4F81BD"/>
    </w:rPr>
  </w:style>
  <w:style w:type="character" w:styleId="Nmerodepgina">
    <w:name w:val="page number"/>
    <w:basedOn w:val="Fuentedeprrafopredeter"/>
    <w:unhideWhenUsed/>
    <w:rsid w:val="003003BA"/>
    <w:rPr>
      <w:rFonts w:eastAsia="Times New Roman" w:cs="Times New Roman"/>
      <w:bCs w:val="0"/>
      <w:iCs w:val="0"/>
      <w:szCs w:val="22"/>
      <w:lang w:val="es-ES"/>
    </w:rPr>
  </w:style>
  <w:style w:type="character" w:styleId="nfasis">
    <w:name w:val="Emphasis"/>
    <w:basedOn w:val="Fuentedeprrafopredeter"/>
    <w:qFormat/>
    <w:rsid w:val="003003BA"/>
    <w:rPr>
      <w:b/>
      <w:bCs/>
      <w:i w:val="0"/>
      <w:iCs w:val="0"/>
    </w:rPr>
  </w:style>
  <w:style w:type="character" w:customStyle="1" w:styleId="ft">
    <w:name w:val="ft"/>
    <w:basedOn w:val="Fuentedeprrafopredeter"/>
    <w:rsid w:val="003003BA"/>
  </w:style>
  <w:style w:type="character" w:customStyle="1" w:styleId="googqs-tidbit-0">
    <w:name w:val="goog_qs-tidbit-0"/>
    <w:basedOn w:val="Fuentedeprrafopredeter"/>
    <w:rsid w:val="003003BA"/>
  </w:style>
  <w:style w:type="character" w:styleId="Textoennegrita">
    <w:name w:val="Strong"/>
    <w:basedOn w:val="Fuentedeprrafopredeter"/>
    <w:uiPriority w:val="22"/>
    <w:qFormat/>
    <w:rsid w:val="003003BA"/>
    <w:rPr>
      <w:b/>
      <w:bCs/>
    </w:rPr>
  </w:style>
  <w:style w:type="character" w:customStyle="1" w:styleId="itemcategory">
    <w:name w:val="itemcategory"/>
    <w:basedOn w:val="Fuentedeprrafopredeter"/>
    <w:rsid w:val="003003BA"/>
  </w:style>
  <w:style w:type="character" w:customStyle="1" w:styleId="itemauthor">
    <w:name w:val="itemauthor"/>
    <w:basedOn w:val="Fuentedeprrafopredeter"/>
    <w:rsid w:val="003003BA"/>
  </w:style>
  <w:style w:type="character" w:customStyle="1" w:styleId="itemcommentslinktop">
    <w:name w:val="itemcommentslinktop"/>
    <w:basedOn w:val="Fuentedeprrafopredeter"/>
    <w:rsid w:val="003003BA"/>
  </w:style>
  <w:style w:type="character" w:customStyle="1" w:styleId="itemimage">
    <w:name w:val="itemimage"/>
    <w:basedOn w:val="Fuentedeprrafopredeter"/>
    <w:rsid w:val="003003BA"/>
  </w:style>
  <w:style w:type="character" w:customStyle="1" w:styleId="trecepixnegro">
    <w:name w:val="trecepixnegro"/>
    <w:basedOn w:val="Fuentedeprrafopredeter"/>
    <w:rsid w:val="003003BA"/>
  </w:style>
  <w:style w:type="character" w:customStyle="1" w:styleId="ntcuerponota">
    <w:name w:val="ntcuerponota"/>
    <w:basedOn w:val="Fuentedeprrafopredeter"/>
    <w:rsid w:val="003003BA"/>
  </w:style>
  <w:style w:type="character" w:customStyle="1" w:styleId="Refdenotaalpie1">
    <w:name w:val="Ref. de nota al pie1"/>
    <w:uiPriority w:val="99"/>
    <w:rsid w:val="003003BA"/>
    <w:rPr>
      <w:color w:val="000000"/>
    </w:rPr>
  </w:style>
  <w:style w:type="character" w:customStyle="1" w:styleId="contenido">
    <w:name w:val="contenido"/>
    <w:basedOn w:val="Fuentedeprrafopredeter"/>
    <w:rsid w:val="003003BA"/>
  </w:style>
  <w:style w:type="character" w:customStyle="1" w:styleId="titular1">
    <w:name w:val="titular1"/>
    <w:basedOn w:val="Fuentedeprrafopredeter"/>
    <w:rsid w:val="003003BA"/>
  </w:style>
  <w:style w:type="character" w:customStyle="1" w:styleId="longdesc">
    <w:name w:val="long_desc"/>
    <w:basedOn w:val="Fuentedeprrafopredeter"/>
    <w:rsid w:val="003003BA"/>
  </w:style>
  <w:style w:type="character" w:customStyle="1" w:styleId="TtuloCar1">
    <w:name w:val="Título Car1"/>
    <w:basedOn w:val="Fuentedeprrafopredeter"/>
    <w:uiPriority w:val="10"/>
    <w:rsid w:val="003003BA"/>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uiPriority w:val="10"/>
    <w:rsid w:val="003003BA"/>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3003BA"/>
    <w:rPr>
      <w:sz w:val="16"/>
      <w:szCs w:val="16"/>
    </w:rPr>
  </w:style>
  <w:style w:type="paragraph" w:styleId="Textocomentario">
    <w:name w:val="annotation text"/>
    <w:basedOn w:val="Normal"/>
    <w:link w:val="TextocomentarioCar"/>
    <w:uiPriority w:val="99"/>
    <w:semiHidden/>
    <w:unhideWhenUsed/>
    <w:rsid w:val="003003BA"/>
    <w:pPr>
      <w:spacing w:after="160"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3003BA"/>
    <w:rPr>
      <w:sz w:val="20"/>
      <w:szCs w:val="20"/>
    </w:rPr>
  </w:style>
  <w:style w:type="paragraph" w:styleId="Asuntodelcomentario">
    <w:name w:val="annotation subject"/>
    <w:basedOn w:val="Textocomentario"/>
    <w:next w:val="Textocomentario"/>
    <w:link w:val="AsuntodelcomentarioCar"/>
    <w:uiPriority w:val="99"/>
    <w:semiHidden/>
    <w:unhideWhenUsed/>
    <w:rsid w:val="003003BA"/>
    <w:rPr>
      <w:b/>
      <w:bCs/>
    </w:rPr>
  </w:style>
  <w:style w:type="character" w:customStyle="1" w:styleId="AsuntodelcomentarioCar">
    <w:name w:val="Asunto del comentario Car"/>
    <w:basedOn w:val="TextocomentarioCar"/>
    <w:link w:val="Asuntodelcomentario"/>
    <w:uiPriority w:val="99"/>
    <w:semiHidden/>
    <w:rsid w:val="003003BA"/>
    <w:rPr>
      <w:b/>
      <w:bCs/>
      <w:sz w:val="20"/>
      <w:szCs w:val="20"/>
    </w:rPr>
  </w:style>
  <w:style w:type="paragraph" w:styleId="Epgrafe">
    <w:name w:val="caption"/>
    <w:aliases w:val="Title"/>
    <w:basedOn w:val="Normal"/>
    <w:next w:val="Ttulo"/>
    <w:link w:val="EpgrafeCar"/>
    <w:qFormat/>
    <w:rsid w:val="002204E0"/>
    <w:pPr>
      <w:spacing w:after="0" w:line="240" w:lineRule="auto"/>
      <w:ind w:left="-720" w:right="-676"/>
      <w:jc w:val="center"/>
    </w:pPr>
    <w:rPr>
      <w:rFonts w:ascii="Arial" w:eastAsia="Times New Roman" w:hAnsi="Arial" w:cs="Times New Roman"/>
      <w:b/>
      <w:sz w:val="28"/>
      <w:szCs w:val="24"/>
      <w:u w:val="single"/>
      <w:lang w:val="es-ES_tradnl"/>
    </w:rPr>
  </w:style>
  <w:style w:type="character" w:customStyle="1" w:styleId="EpgrafeCar">
    <w:name w:val="Epígrafe Car"/>
    <w:aliases w:val="Title Car"/>
    <w:link w:val="Epgrafe"/>
    <w:rsid w:val="002204E0"/>
    <w:rPr>
      <w:rFonts w:ascii="Arial" w:eastAsia="Times New Roman" w:hAnsi="Arial" w:cs="Times New Roman"/>
      <w:b/>
      <w:sz w:val="28"/>
      <w:szCs w:val="24"/>
      <w:u w:val="single"/>
      <w:lang w:val="es-ES_tradnl"/>
    </w:rPr>
  </w:style>
  <w:style w:type="paragraph" w:styleId="Textoindependiente">
    <w:name w:val="Body Text"/>
    <w:basedOn w:val="Normal"/>
    <w:link w:val="TextoindependienteCar"/>
    <w:rsid w:val="002204E0"/>
    <w:pPr>
      <w:spacing w:after="0" w:line="360" w:lineRule="auto"/>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2204E0"/>
    <w:rPr>
      <w:rFonts w:ascii="Arial" w:eastAsia="Times New Roman" w:hAnsi="Arial" w:cs="Times New Roman"/>
      <w:sz w:val="24"/>
      <w:szCs w:val="20"/>
    </w:rPr>
  </w:style>
  <w:style w:type="paragraph" w:customStyle="1" w:styleId="H3">
    <w:name w:val="H3"/>
    <w:basedOn w:val="Normal"/>
    <w:next w:val="Normal"/>
    <w:rsid w:val="002204E0"/>
    <w:pPr>
      <w:keepNext/>
      <w:spacing w:before="100" w:after="100" w:line="240" w:lineRule="auto"/>
      <w:jc w:val="left"/>
      <w:outlineLvl w:val="3"/>
    </w:pPr>
    <w:rPr>
      <w:rFonts w:ascii="Times New Roman" w:eastAsia="Times New Roman" w:hAnsi="Times New Roman" w:cs="Times New Roman"/>
      <w:b/>
      <w:snapToGrid w:val="0"/>
      <w:sz w:val="28"/>
      <w:szCs w:val="20"/>
      <w:lang w:val="es-ES" w:eastAsia="es-ES"/>
    </w:rPr>
  </w:style>
  <w:style w:type="paragraph" w:customStyle="1" w:styleId="Preformatted">
    <w:name w:val="Preformatted"/>
    <w:basedOn w:val="Normal"/>
    <w:rsid w:val="002204E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cs="Times New Roman"/>
      <w:snapToGrid w:val="0"/>
      <w:sz w:val="20"/>
      <w:szCs w:val="20"/>
      <w:lang w:val="es-ES" w:eastAsia="es-ES"/>
    </w:rPr>
  </w:style>
  <w:style w:type="paragraph" w:customStyle="1" w:styleId="3dmsobodytext">
    <w:name w:val="3dmsobodytext"/>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paragraph" w:customStyle="1" w:styleId="3dmsonormal">
    <w:name w:val="3dmsonormal"/>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_tradnl"/>
    </w:rPr>
  </w:style>
  <w:style w:type="character" w:customStyle="1" w:styleId="textonormal">
    <w:name w:val="textonormal"/>
    <w:rsid w:val="002204E0"/>
  </w:style>
  <w:style w:type="character" w:customStyle="1" w:styleId="elema1">
    <w:name w:val="elema1"/>
    <w:rsid w:val="002204E0"/>
    <w:rPr>
      <w:color w:val="0000FF"/>
      <w:sz w:val="30"/>
      <w:szCs w:val="30"/>
    </w:rPr>
  </w:style>
  <w:style w:type="character" w:customStyle="1" w:styleId="eetimo1">
    <w:name w:val="eetimo1"/>
    <w:rsid w:val="002204E0"/>
    <w:rPr>
      <w:rFonts w:ascii="Arial Unicode MS" w:eastAsia="Arial Unicode MS" w:hAnsi="Arial Unicode MS" w:cs="Arial Unicode MS" w:hint="eastAsia"/>
      <w:color w:val="008000"/>
      <w:sz w:val="24"/>
      <w:szCs w:val="24"/>
    </w:rPr>
  </w:style>
  <w:style w:type="character" w:customStyle="1" w:styleId="eabrv1">
    <w:name w:val="eabrv1"/>
    <w:rsid w:val="002204E0"/>
    <w:rPr>
      <w:color w:val="0000FF"/>
    </w:rPr>
  </w:style>
  <w:style w:type="character" w:customStyle="1" w:styleId="eacep1">
    <w:name w:val="eacep1"/>
    <w:rsid w:val="002204E0"/>
    <w:rPr>
      <w:color w:val="000000"/>
    </w:rPr>
  </w:style>
  <w:style w:type="character" w:customStyle="1" w:styleId="eordenaceplema1">
    <w:name w:val="eordenaceplema1"/>
    <w:rsid w:val="002204E0"/>
    <w:rPr>
      <w:color w:val="0000FF"/>
    </w:rPr>
  </w:style>
  <w:style w:type="character" w:customStyle="1" w:styleId="eejemplo1">
    <w:name w:val="eejemplo1"/>
    <w:rsid w:val="002204E0"/>
    <w:rPr>
      <w:color w:val="800080"/>
    </w:rPr>
  </w:style>
  <w:style w:type="paragraph" w:customStyle="1" w:styleId="comment-author">
    <w:name w:val="comment-author"/>
    <w:basedOn w:val="Normal"/>
    <w:rsid w:val="002204E0"/>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character" w:customStyle="1" w:styleId="byline">
    <w:name w:val="byline"/>
    <w:rsid w:val="002204E0"/>
  </w:style>
  <w:style w:type="paragraph" w:styleId="Sangradetextonormal">
    <w:name w:val="Body Text Indent"/>
    <w:basedOn w:val="Normal"/>
    <w:link w:val="SangradetextonormalCar"/>
    <w:rsid w:val="002204E0"/>
    <w:pPr>
      <w:spacing w:after="120" w:line="240" w:lineRule="auto"/>
      <w:ind w:left="283"/>
      <w:jc w:val="left"/>
    </w:pPr>
    <w:rPr>
      <w:rFonts w:ascii="Times New Roman" w:eastAsia="Times New Roman" w:hAnsi="Times New Roman" w:cs="Times New Roman"/>
      <w:sz w:val="20"/>
      <w:szCs w:val="20"/>
      <w:lang w:val="es-ES_tradnl"/>
    </w:rPr>
  </w:style>
  <w:style w:type="character" w:customStyle="1" w:styleId="SangradetextonormalCar">
    <w:name w:val="Sangría de texto normal Car"/>
    <w:basedOn w:val="Fuentedeprrafopredeter"/>
    <w:link w:val="Sangradetextonormal"/>
    <w:rsid w:val="002204E0"/>
    <w:rPr>
      <w:rFonts w:ascii="Times New Roman" w:eastAsia="Times New Roman" w:hAnsi="Times New Roman" w:cs="Times New Roman"/>
      <w:sz w:val="20"/>
      <w:szCs w:val="20"/>
      <w:lang w:val="es-ES_tradnl"/>
    </w:rPr>
  </w:style>
  <w:style w:type="paragraph" w:customStyle="1" w:styleId="container12">
    <w:name w:val="container_12"/>
    <w:basedOn w:val="Normal"/>
    <w:rsid w:val="002204E0"/>
    <w:pPr>
      <w:spacing w:before="45" w:after="45" w:line="240" w:lineRule="auto"/>
      <w:jc w:val="left"/>
    </w:pPr>
    <w:rPr>
      <w:rFonts w:ascii="Times New Roman" w:eastAsia="Times New Roman" w:hAnsi="Times New Roman" w:cs="Times New Roman"/>
      <w:szCs w:val="24"/>
      <w:lang w:val="es-ES" w:eastAsia="es-ES" w:bidi="pa-IN"/>
    </w:rPr>
  </w:style>
  <w:style w:type="paragraph" w:styleId="Listaconnmeros">
    <w:name w:val="List Number"/>
    <w:basedOn w:val="Normal"/>
    <w:rsid w:val="002204E0"/>
    <w:pPr>
      <w:numPr>
        <w:numId w:val="1"/>
      </w:numPr>
      <w:spacing w:after="0" w:line="240" w:lineRule="auto"/>
      <w:jc w:val="left"/>
    </w:pPr>
    <w:rPr>
      <w:rFonts w:ascii="Arial" w:eastAsia="Times New Roman" w:hAnsi="Arial" w:cs="Times New Roman"/>
      <w:b/>
      <w:szCs w:val="24"/>
      <w:lang w:val="es-ES" w:eastAsia="es-ES"/>
    </w:rPr>
  </w:style>
  <w:style w:type="paragraph" w:customStyle="1" w:styleId="Pa14">
    <w:name w:val="Pa14"/>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character" w:customStyle="1" w:styleId="A8">
    <w:name w:val="A8"/>
    <w:rsid w:val="002204E0"/>
    <w:rPr>
      <w:rFonts w:cs="JELBZY+AGaramondPro-Regular"/>
      <w:color w:val="000000"/>
      <w:sz w:val="62"/>
      <w:szCs w:val="62"/>
    </w:rPr>
  </w:style>
  <w:style w:type="character" w:customStyle="1" w:styleId="A3">
    <w:name w:val="A3"/>
    <w:rsid w:val="002204E0"/>
    <w:rPr>
      <w:rFonts w:cs="JELBZY+AGaramondPro-Regular"/>
      <w:color w:val="000000"/>
      <w:sz w:val="23"/>
      <w:szCs w:val="23"/>
    </w:rPr>
  </w:style>
  <w:style w:type="paragraph" w:customStyle="1" w:styleId="Pa15">
    <w:name w:val="Pa15"/>
    <w:basedOn w:val="Normal"/>
    <w:next w:val="Normal"/>
    <w:rsid w:val="002204E0"/>
    <w:pPr>
      <w:autoSpaceDE w:val="0"/>
      <w:autoSpaceDN w:val="0"/>
      <w:adjustRightInd w:val="0"/>
      <w:spacing w:after="0" w:line="261" w:lineRule="atLeast"/>
      <w:jc w:val="left"/>
    </w:pPr>
    <w:rPr>
      <w:rFonts w:ascii="JELBZY+AGaramondPro-Regular" w:eastAsia="Times New Roman" w:hAnsi="JELBZY+AGaramondPro-Regular" w:cs="Times New Roman"/>
      <w:szCs w:val="24"/>
      <w:lang w:val="es-ES" w:eastAsia="es-ES"/>
    </w:rPr>
  </w:style>
  <w:style w:type="paragraph" w:customStyle="1" w:styleId="Pa16">
    <w:name w:val="Pa16"/>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7">
    <w:name w:val="Pa7"/>
    <w:basedOn w:val="Normal"/>
    <w:next w:val="Normal"/>
    <w:rsid w:val="002204E0"/>
    <w:pPr>
      <w:autoSpaceDE w:val="0"/>
      <w:autoSpaceDN w:val="0"/>
      <w:adjustRightInd w:val="0"/>
      <w:spacing w:after="0" w:line="241" w:lineRule="atLeast"/>
      <w:jc w:val="left"/>
    </w:pPr>
    <w:rPr>
      <w:rFonts w:ascii="JELBZY+AGaramondPro-Regular" w:eastAsia="Times New Roman" w:hAnsi="JELBZY+AGaramondPro-Regular" w:cs="Times New Roman"/>
      <w:szCs w:val="24"/>
      <w:lang w:val="es-ES" w:eastAsia="es-ES"/>
    </w:rPr>
  </w:style>
  <w:style w:type="paragraph" w:customStyle="1" w:styleId="Pa11">
    <w:name w:val="Pa11"/>
    <w:basedOn w:val="Normal"/>
    <w:next w:val="Normal"/>
    <w:rsid w:val="002204E0"/>
    <w:pPr>
      <w:autoSpaceDE w:val="0"/>
      <w:autoSpaceDN w:val="0"/>
      <w:adjustRightInd w:val="0"/>
      <w:spacing w:after="0" w:line="361" w:lineRule="atLeast"/>
      <w:jc w:val="left"/>
    </w:pPr>
    <w:rPr>
      <w:rFonts w:ascii="NKZZDQ+MyriadPro-Bold" w:eastAsia="Times New Roman" w:hAnsi="NKZZDQ+MyriadPro-Bold" w:cs="Times New Roman"/>
      <w:szCs w:val="24"/>
      <w:lang w:val="es-ES" w:eastAsia="es-ES"/>
    </w:rPr>
  </w:style>
  <w:style w:type="paragraph" w:styleId="TDC1">
    <w:name w:val="toc 1"/>
    <w:basedOn w:val="Normal"/>
    <w:next w:val="Normal"/>
    <w:autoRedefine/>
    <w:rsid w:val="002204E0"/>
    <w:pPr>
      <w:tabs>
        <w:tab w:val="left" w:pos="0"/>
        <w:tab w:val="right" w:leader="dot" w:pos="8828"/>
      </w:tabs>
      <w:spacing w:after="0" w:line="360" w:lineRule="auto"/>
      <w:jc w:val="left"/>
    </w:pPr>
    <w:rPr>
      <w:rFonts w:ascii="Arial" w:eastAsia="Times New Roman" w:hAnsi="Arial" w:cs="Arial"/>
      <w:noProof/>
      <w:color w:val="800000"/>
      <w:szCs w:val="24"/>
      <w:lang w:val="es-ES" w:eastAsia="es-ES"/>
    </w:rPr>
  </w:style>
  <w:style w:type="paragraph" w:styleId="TDC2">
    <w:name w:val="toc 2"/>
    <w:basedOn w:val="Normal"/>
    <w:next w:val="Normal"/>
    <w:autoRedefine/>
    <w:rsid w:val="002204E0"/>
    <w:pPr>
      <w:spacing w:after="0" w:line="240" w:lineRule="auto"/>
      <w:ind w:left="240"/>
      <w:jc w:val="left"/>
    </w:pPr>
    <w:rPr>
      <w:rFonts w:ascii="Times New Roman" w:eastAsia="Times New Roman" w:hAnsi="Times New Roman" w:cs="Times New Roman"/>
      <w:szCs w:val="24"/>
      <w:lang w:val="es-ES" w:eastAsia="es-ES"/>
    </w:rPr>
  </w:style>
  <w:style w:type="paragraph" w:styleId="Textoindependiente2">
    <w:name w:val="Body Text 2"/>
    <w:basedOn w:val="Normal"/>
    <w:link w:val="Textoindependiente2Car"/>
    <w:rsid w:val="002204E0"/>
    <w:pPr>
      <w:spacing w:after="120" w:line="480" w:lineRule="auto"/>
      <w:jc w:val="left"/>
    </w:pPr>
    <w:rPr>
      <w:rFonts w:ascii="Times New Roman" w:eastAsia="Batang" w:hAnsi="Times New Roman" w:cs="Times New Roman"/>
      <w:szCs w:val="24"/>
      <w:lang w:val="es-ES_tradnl" w:eastAsia="es-ES_tradnl"/>
    </w:rPr>
  </w:style>
  <w:style w:type="character" w:customStyle="1" w:styleId="Textoindependiente2Car">
    <w:name w:val="Texto independiente 2 Car"/>
    <w:basedOn w:val="Fuentedeprrafopredeter"/>
    <w:link w:val="Textoindependiente2"/>
    <w:rsid w:val="002204E0"/>
    <w:rPr>
      <w:rFonts w:ascii="Times New Roman" w:eastAsia="Batang" w:hAnsi="Times New Roman" w:cs="Times New Roman"/>
      <w:sz w:val="24"/>
      <w:szCs w:val="24"/>
      <w:lang w:val="es-ES_tradnl" w:eastAsia="es-ES_tradnl"/>
    </w:rPr>
  </w:style>
  <w:style w:type="paragraph" w:customStyle="1" w:styleId="Body">
    <w:name w:val="Body"/>
    <w:basedOn w:val="Normal"/>
    <w:link w:val="BodyChar"/>
    <w:rsid w:val="002204E0"/>
    <w:pPr>
      <w:spacing w:before="60" w:after="60" w:line="240" w:lineRule="auto"/>
      <w:jc w:val="left"/>
    </w:pPr>
    <w:rPr>
      <w:rFonts w:ascii="Tahoma" w:eastAsia="Batang" w:hAnsi="Tahoma" w:cs="Times New Roman"/>
      <w:iCs/>
      <w:color w:val="000000"/>
      <w:sz w:val="23"/>
      <w:szCs w:val="23"/>
      <w:lang w:val="es-ES_tradnl" w:eastAsia="en-CA"/>
    </w:rPr>
  </w:style>
  <w:style w:type="character" w:customStyle="1" w:styleId="BodyChar">
    <w:name w:val="Body Char"/>
    <w:link w:val="Body"/>
    <w:rsid w:val="002204E0"/>
    <w:rPr>
      <w:rFonts w:ascii="Tahoma" w:eastAsia="Batang" w:hAnsi="Tahoma" w:cs="Times New Roman"/>
      <w:iCs/>
      <w:color w:val="000000"/>
      <w:sz w:val="23"/>
      <w:szCs w:val="23"/>
      <w:lang w:val="es-ES_tradnl" w:eastAsia="en-CA"/>
    </w:rPr>
  </w:style>
  <w:style w:type="character" w:customStyle="1" w:styleId="Smbolodenotaalpie">
    <w:name w:val="Símbolo de nota al pie"/>
    <w:rsid w:val="002204E0"/>
    <w:rPr>
      <w:vertAlign w:val="superscript"/>
    </w:rPr>
  </w:style>
  <w:style w:type="paragraph" w:customStyle="1" w:styleId="TableContents">
    <w:name w:val="Table Contents"/>
    <w:basedOn w:val="Normal"/>
    <w:rsid w:val="002204E0"/>
    <w:pPr>
      <w:widowControl w:val="0"/>
      <w:suppressLineNumbers/>
      <w:suppressAutoHyphens/>
      <w:autoSpaceDN w:val="0"/>
      <w:spacing w:after="0" w:line="240" w:lineRule="auto"/>
      <w:jc w:val="left"/>
      <w:textAlignment w:val="baseline"/>
    </w:pPr>
    <w:rPr>
      <w:rFonts w:ascii="Liberation Serif" w:eastAsia="DejaVu Sans" w:hAnsi="Liberation Serif" w:cs="DejaVu Sans"/>
      <w:kern w:val="3"/>
      <w:szCs w:val="24"/>
      <w:lang w:val="es-AR" w:eastAsia="es-SV"/>
    </w:rPr>
  </w:style>
  <w:style w:type="character" w:customStyle="1" w:styleId="Sangra3detindependienteCar">
    <w:name w:val="Sangría 3 de t. independiente Car"/>
    <w:basedOn w:val="Fuentedeprrafopredeter"/>
    <w:link w:val="Sangra3detindependiente"/>
    <w:uiPriority w:val="99"/>
    <w:semiHidden/>
    <w:rsid w:val="002204E0"/>
    <w:rPr>
      <w:rFonts w:ascii="Times New Roman" w:eastAsia="Times New Roman" w:hAnsi="Times New Roman" w:cs="Times New Roman"/>
      <w:sz w:val="16"/>
      <w:szCs w:val="16"/>
      <w:lang w:val="es-ES_tradnl" w:eastAsia="es-ES"/>
    </w:rPr>
  </w:style>
  <w:style w:type="paragraph" w:styleId="Sangra3detindependiente">
    <w:name w:val="Body Text Indent 3"/>
    <w:basedOn w:val="Normal"/>
    <w:link w:val="Sangra3detindependienteCar"/>
    <w:uiPriority w:val="99"/>
    <w:semiHidden/>
    <w:unhideWhenUsed/>
    <w:rsid w:val="002204E0"/>
    <w:pPr>
      <w:spacing w:after="120" w:line="240" w:lineRule="auto"/>
      <w:ind w:left="283"/>
      <w:jc w:val="left"/>
    </w:pPr>
    <w:rPr>
      <w:rFonts w:ascii="Times New Roman" w:eastAsia="Times New Roman" w:hAnsi="Times New Roman" w:cs="Times New Roman"/>
      <w:sz w:val="16"/>
      <w:szCs w:val="16"/>
      <w:lang w:val="es-ES_tradnl" w:eastAsia="es-ES"/>
    </w:rPr>
  </w:style>
  <w:style w:type="paragraph" w:styleId="Sangra2detindependiente">
    <w:name w:val="Body Text Indent 2"/>
    <w:basedOn w:val="Normal"/>
    <w:link w:val="Sangra2detindependienteCar"/>
    <w:uiPriority w:val="99"/>
    <w:unhideWhenUsed/>
    <w:rsid w:val="002204E0"/>
    <w:pPr>
      <w:spacing w:after="120" w:line="480" w:lineRule="auto"/>
      <w:ind w:left="283"/>
      <w:jc w:val="left"/>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2204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antunez@udg.co.c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ctualidadjuridicaambient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27884-9BDC-441D-B279-939B5B51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10927</Words>
  <Characters>60103</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70889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cp:lastPrinted>2015-04-16T23:32:00Z</cp:lastPrinted>
  <dcterms:created xsi:type="dcterms:W3CDTF">2016-02-16T23:26:00Z</dcterms:created>
  <dcterms:modified xsi:type="dcterms:W3CDTF">2016-02-16T23:26:00Z</dcterms:modified>
</cp:coreProperties>
</file>